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259CF" w14:textId="13F1884A" w:rsidR="00002990" w:rsidRPr="003072C6" w:rsidRDefault="00606C23" w:rsidP="00A55989">
      <w:pPr>
        <w:pStyle w:val="VDWCbodynospace"/>
      </w:pPr>
      <w:bookmarkStart w:id="0" w:name="_Hlk141348553"/>
      <w:bookmarkEnd w:id="0"/>
      <w:r>
        <w:rPr>
          <w:noProof/>
        </w:rPr>
        <w:drawing>
          <wp:anchor distT="0" distB="0" distL="114300" distR="114300" simplePos="0" relativeHeight="251658241" behindDoc="1" locked="1" layoutInCell="0" allowOverlap="1" wp14:anchorId="62089091" wp14:editId="59E3C0AE">
            <wp:simplePos x="0" y="0"/>
            <wp:positionH relativeFrom="page">
              <wp:posOffset>0</wp:posOffset>
            </wp:positionH>
            <wp:positionV relativeFrom="page">
              <wp:posOffset>0</wp:posOffset>
            </wp:positionV>
            <wp:extent cx="7561580" cy="10696575"/>
            <wp:effectExtent l="0" t="0" r="1270" b="9525"/>
            <wp:wrapNone/>
            <wp:docPr id="2" name="Picture 2" descr="Victorian Disability Worker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9" descr="Victorian Disability Worker Commission"/>
                    <pic:cNvPicPr>
                      <a:picLocks noChangeAspect="1" noChangeArrowheads="1"/>
                    </pic:cNvPicPr>
                  </pic:nvPicPr>
                  <pic:blipFill>
                    <a:blip r:embed="rId11"/>
                    <a:stretch>
                      <a:fillRect/>
                    </a:stretch>
                  </pic:blipFill>
                  <pic:spPr bwMode="auto">
                    <a:xfrm>
                      <a:off x="0" y="0"/>
                      <a:ext cx="756158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534" w:type="dxa"/>
        <w:tblInd w:w="113" w:type="dxa"/>
        <w:tblCellMar>
          <w:left w:w="0" w:type="dxa"/>
          <w:right w:w="0" w:type="dxa"/>
        </w:tblCellMar>
        <w:tblLook w:val="0600" w:firstRow="0" w:lastRow="0" w:firstColumn="0" w:lastColumn="0" w:noHBand="1" w:noVBand="1"/>
      </w:tblPr>
      <w:tblGrid>
        <w:gridCol w:w="8534"/>
      </w:tblGrid>
      <w:tr w:rsidR="009A2530" w:rsidRPr="003072C6" w14:paraId="6A818BE1" w14:textId="77777777" w:rsidTr="009A2530">
        <w:trPr>
          <w:trHeight w:val="3411"/>
        </w:trPr>
        <w:tc>
          <w:tcPr>
            <w:tcW w:w="8534" w:type="dxa"/>
            <w:shd w:val="clear" w:color="auto" w:fill="auto"/>
          </w:tcPr>
          <w:p w14:paraId="32AACFD0" w14:textId="5DF31F86" w:rsidR="00370897" w:rsidRDefault="00370897" w:rsidP="00370897">
            <w:pPr>
              <w:pStyle w:val="VDWCreportsubtitlewhite"/>
              <w:rPr>
                <w:sz w:val="40"/>
                <w:szCs w:val="50"/>
              </w:rPr>
            </w:pPr>
            <w:r w:rsidRPr="00370897">
              <w:rPr>
                <w:sz w:val="40"/>
                <w:szCs w:val="50"/>
              </w:rPr>
              <w:t>Victorian Disability Worker Commission and Disability Worker Registration Board of Victoria</w:t>
            </w:r>
          </w:p>
          <w:p w14:paraId="179C35FD" w14:textId="1479F41B" w:rsidR="009A2530" w:rsidRDefault="00370897" w:rsidP="00370897">
            <w:pPr>
              <w:pStyle w:val="VDWCreportsubtitlewhite"/>
              <w:rPr>
                <w:sz w:val="40"/>
                <w:szCs w:val="50"/>
              </w:rPr>
            </w:pPr>
            <w:r>
              <w:rPr>
                <w:sz w:val="40"/>
                <w:szCs w:val="50"/>
              </w:rPr>
              <w:t>Corporate plan 2022–24</w:t>
            </w:r>
          </w:p>
          <w:p w14:paraId="5ECFF1F1" w14:textId="4CAC06C4" w:rsidR="00444D82" w:rsidRPr="003072C6" w:rsidRDefault="00370897" w:rsidP="00E91933">
            <w:pPr>
              <w:pStyle w:val="VDWCreportsubtitlewhite"/>
            </w:pPr>
            <w:r w:rsidRPr="00370897">
              <w:t>Update April 2024</w:t>
            </w:r>
          </w:p>
        </w:tc>
      </w:tr>
    </w:tbl>
    <w:p w14:paraId="06E03512" w14:textId="77777777" w:rsidR="0069374A" w:rsidRPr="00256E7C" w:rsidRDefault="0069374A" w:rsidP="00256E7C">
      <w:pPr>
        <w:pStyle w:val="VDWCbody"/>
      </w:pPr>
    </w:p>
    <w:p w14:paraId="6260B074" w14:textId="77777777" w:rsidR="00C51B1C" w:rsidRPr="00256E7C" w:rsidRDefault="00C51B1C" w:rsidP="00256E7C">
      <w:pPr>
        <w:pStyle w:val="VDWCbody"/>
        <w:sectPr w:rsidR="00C51B1C" w:rsidRPr="00256E7C" w:rsidSect="00754804">
          <w:footerReference w:type="even" r:id="rId12"/>
          <w:footerReference w:type="default" r:id="rId13"/>
          <w:type w:val="oddPage"/>
          <w:pgSz w:w="11906" w:h="16838"/>
          <w:pgMar w:top="5103" w:right="1304" w:bottom="1134" w:left="1134" w:header="454" w:footer="567" w:gutter="0"/>
          <w:cols w:space="720"/>
          <w:docGrid w:linePitch="360"/>
        </w:sectPr>
      </w:pPr>
    </w:p>
    <w:p w14:paraId="22A1C202" w14:textId="2D31E831" w:rsidR="000765D4" w:rsidRPr="00260C17" w:rsidRDefault="000765D4" w:rsidP="00260C17">
      <w:pPr>
        <w:rPr>
          <w:rFonts w:ascii="Arial" w:eastAsia="Times" w:hAnsi="Arial"/>
          <w:sz w:val="24"/>
        </w:rPr>
        <w:sectPr w:rsidR="000765D4" w:rsidRPr="00260C17" w:rsidSect="00754804">
          <w:headerReference w:type="default" r:id="rId14"/>
          <w:type w:val="continuous"/>
          <w:pgSz w:w="11906" w:h="16838" w:code="9"/>
          <w:pgMar w:top="1418" w:right="851" w:bottom="1418" w:left="851" w:header="851" w:footer="851" w:gutter="0"/>
          <w:cols w:space="340"/>
          <w:titlePg/>
          <w:docGrid w:linePitch="360"/>
        </w:sectPr>
      </w:pPr>
    </w:p>
    <w:p w14:paraId="329C8B5D" w14:textId="77777777" w:rsidR="000765D4" w:rsidRDefault="000765D4" w:rsidP="000765D4">
      <w:pPr>
        <w:pStyle w:val="Heading3"/>
      </w:pPr>
      <w:r>
        <w:lastRenderedPageBreak/>
        <w:t>Acknowledgement of Country</w:t>
      </w:r>
    </w:p>
    <w:p w14:paraId="3A9B30F3" w14:textId="076247E7" w:rsidR="000765D4" w:rsidRDefault="00550574" w:rsidP="007E08B0">
      <w:pPr>
        <w:pStyle w:val="VDWCbody"/>
      </w:pPr>
      <w:r w:rsidRPr="00550574">
        <w:t>We proudly acknowledge Victoria’s First Nations peoples and their ongoing strength in practising the world’s oldest living culture. We acknowledge the Traditional Owners of the lands and waters on which we live and work and pay our respect to their Elders past and present. We acknowledge the ongoing role of the Aboriginal community in supporting those with disability</w:t>
      </w:r>
      <w:r w:rsidR="000765D4">
        <w:t>.</w:t>
      </w:r>
    </w:p>
    <w:p w14:paraId="2EA5BEA4" w14:textId="77777777" w:rsidR="00550574" w:rsidRDefault="00550574" w:rsidP="00550574">
      <w:pPr>
        <w:pStyle w:val="Heading3"/>
      </w:pPr>
      <w:r>
        <w:t>Accessibility statement</w:t>
      </w:r>
    </w:p>
    <w:p w14:paraId="65896454" w14:textId="73CA9DBD" w:rsidR="00550574" w:rsidRDefault="00550574" w:rsidP="00550574">
      <w:pPr>
        <w:pStyle w:val="VDWCbody"/>
      </w:pPr>
      <w:r w:rsidRPr="006275C0">
        <w:t xml:space="preserve">The Victorian Disability Worker Commission aims to make its information and publications accessible to all. This </w:t>
      </w:r>
      <w:r>
        <w:t>corporate plan</w:t>
      </w:r>
      <w:r w:rsidRPr="006275C0">
        <w:t xml:space="preserve"> has been designed in both a PDF and accessible </w:t>
      </w:r>
      <w:r>
        <w:br/>
      </w:r>
      <w:r w:rsidRPr="006275C0">
        <w:t xml:space="preserve">Word format. If you require an alternative format, please </w:t>
      </w:r>
      <w:hyperlink r:id="rId15" w:history="1">
        <w:r w:rsidRPr="00FD56C8">
          <w:rPr>
            <w:rStyle w:val="Hyperlink"/>
          </w:rPr>
          <w:t>email the Commission</w:t>
        </w:r>
      </w:hyperlink>
      <w:r w:rsidRPr="006275C0">
        <w:t xml:space="preserve"> &lt;info@vdwc.vic.gov.au&gt;.</w:t>
      </w:r>
    </w:p>
    <w:p w14:paraId="50EA4989" w14:textId="77777777" w:rsidR="00550574" w:rsidRPr="00550574" w:rsidRDefault="00550574" w:rsidP="00550574">
      <w:pPr>
        <w:pStyle w:val="Body"/>
      </w:pPr>
      <w:r w:rsidRPr="00550574">
        <w:t xml:space="preserve">The Commission and Board are statutory entities of the State Government of Victoria created under the </w:t>
      </w:r>
      <w:r w:rsidRPr="00550574">
        <w:rPr>
          <w:i/>
          <w:iCs/>
        </w:rPr>
        <w:t>Disability Service Safeguards Act 2018</w:t>
      </w:r>
      <w:r w:rsidRPr="00550574">
        <w:t>.</w:t>
      </w:r>
    </w:p>
    <w:p w14:paraId="4713F60B" w14:textId="77777777" w:rsidR="00550574" w:rsidRPr="00550574" w:rsidRDefault="00550574" w:rsidP="00550574">
      <w:pPr>
        <w:pStyle w:val="Body"/>
      </w:pPr>
      <w:r w:rsidRPr="00550574">
        <w:t>© State of Victoria (Victorian Disability Worker Commission and Disability Worker Registration Board of Victoria) 2022</w:t>
      </w:r>
    </w:p>
    <w:p w14:paraId="5C660568" w14:textId="6EAAAC43" w:rsidR="00550574" w:rsidRPr="00550574" w:rsidRDefault="00550574" w:rsidP="00550574">
      <w:pPr>
        <w:pStyle w:val="Body"/>
      </w:pPr>
      <w:r w:rsidRPr="00550574">
        <w:t xml:space="preserve">The </w:t>
      </w:r>
      <w:r w:rsidRPr="005B7A25">
        <w:rPr>
          <w:i/>
          <w:iCs/>
        </w:rPr>
        <w:t>Victorian Disability Worker Commission and Disability Worker Registration Board of Victoria corporate plan 2022–24</w:t>
      </w:r>
      <w:r w:rsidR="005409FB">
        <w:rPr>
          <w:i/>
          <w:iCs/>
        </w:rPr>
        <w:t>,</w:t>
      </w:r>
      <w:r w:rsidRPr="00550574">
        <w:t xml:space="preserve"> </w:t>
      </w:r>
      <w:r w:rsidR="005409FB">
        <w:rPr>
          <w:i/>
          <w:iCs/>
        </w:rPr>
        <w:t>u</w:t>
      </w:r>
      <w:r w:rsidRPr="005B7A25">
        <w:rPr>
          <w:i/>
          <w:iCs/>
        </w:rPr>
        <w:t>pdated April 2024</w:t>
      </w:r>
      <w:r w:rsidRPr="00550574">
        <w:t>, is licensed under a Creative Commons Attribution 4.0 licence.</w:t>
      </w:r>
    </w:p>
    <w:p w14:paraId="62DAC5C7" w14:textId="77777777" w:rsidR="00550574" w:rsidRPr="00550574" w:rsidRDefault="00550574" w:rsidP="00550574">
      <w:pPr>
        <w:pStyle w:val="Body"/>
      </w:pPr>
      <w:r w:rsidRPr="00550574">
        <w:t>You are free to re-use the work under that licence, on the condition that you credit the State of Victoria (Victorian Disability Worker Commission and Disability Worker Registration Board of Victoria) as author, indicate if changes were made and comply with other licence terms. The licence does not apply to any images, photographs or branding, including the Victorian Government logo, Victorian Disability Worker Commission logo, the Disability Worker Registration Board of Victoria logo and the logos used to certify registration as a registered disability worker.</w:t>
      </w:r>
    </w:p>
    <w:p w14:paraId="40B1D9EE" w14:textId="4A7C6680" w:rsidR="00550574" w:rsidRPr="00550574" w:rsidRDefault="00550574" w:rsidP="00550574">
      <w:pPr>
        <w:pStyle w:val="Body"/>
      </w:pPr>
      <w:r w:rsidRPr="00550574">
        <w:t>Copyright queries may be directed to &lt;info@vdwc.vic.gov.au&gt;</w:t>
      </w:r>
    </w:p>
    <w:p w14:paraId="1AFCA66D" w14:textId="77777777" w:rsidR="00550574" w:rsidRPr="00550574" w:rsidRDefault="00550574" w:rsidP="00550574">
      <w:pPr>
        <w:pStyle w:val="Body"/>
      </w:pPr>
      <w:r w:rsidRPr="00550574">
        <w:t>ISSN 2653-6161 – Online (pdf/word) format</w:t>
      </w:r>
    </w:p>
    <w:p w14:paraId="69896143" w14:textId="77777777" w:rsidR="00550574" w:rsidRPr="00550574" w:rsidRDefault="00550574" w:rsidP="00550574">
      <w:pPr>
        <w:pStyle w:val="Body"/>
      </w:pPr>
      <w:r w:rsidRPr="00550574">
        <w:t>Published April 2024</w:t>
      </w:r>
    </w:p>
    <w:p w14:paraId="566533FC" w14:textId="1D188D7E" w:rsidR="00550574" w:rsidRDefault="00550574" w:rsidP="00376777">
      <w:pPr>
        <w:pStyle w:val="Body"/>
        <w:sectPr w:rsidR="00550574" w:rsidSect="00754804">
          <w:pgSz w:w="11906" w:h="16838"/>
          <w:pgMar w:top="1701" w:right="1304" w:bottom="1247" w:left="1304" w:header="454" w:footer="454" w:gutter="0"/>
          <w:cols w:space="720"/>
          <w:noEndnote/>
          <w:docGrid w:linePitch="272"/>
        </w:sectPr>
      </w:pPr>
      <w:r w:rsidRPr="00550574">
        <w:t xml:space="preserve">Victorian Disability Worker Commission </w:t>
      </w:r>
      <w:r>
        <w:br/>
      </w:r>
      <w:r w:rsidRPr="00550574">
        <w:t>Level 20, 570 Bourke Street</w:t>
      </w:r>
      <w:r w:rsidRPr="00550574">
        <w:br/>
        <w:t>Melbourne Victoria 3000</w:t>
      </w:r>
      <w:r>
        <w:br/>
      </w:r>
      <w:r w:rsidRPr="00550574">
        <w:t>Phone: 1800 497 13</w:t>
      </w:r>
    </w:p>
    <w:p w14:paraId="6862F344" w14:textId="77777777" w:rsidR="000765D4" w:rsidRDefault="000765D4" w:rsidP="000765D4">
      <w:pPr>
        <w:pStyle w:val="Heading1"/>
        <w:rPr>
          <w:rStyle w:val="Hyperlink"/>
        </w:rPr>
      </w:pPr>
      <w:bookmarkStart w:id="1" w:name="_Toc165463482"/>
      <w:r>
        <w:lastRenderedPageBreak/>
        <w:t>Contents</w:t>
      </w:r>
      <w:bookmarkEnd w:id="1"/>
    </w:p>
    <w:p w14:paraId="43851976" w14:textId="30496FB9" w:rsidR="00A4636F" w:rsidRDefault="00A4636F">
      <w:pPr>
        <w:pStyle w:val="TOC1"/>
        <w:rPr>
          <w:rFonts w:asciiTheme="minorHAnsi" w:eastAsiaTheme="minorEastAsia" w:hAnsiTheme="minorHAnsi" w:cstheme="minorBidi"/>
          <w:b w:val="0"/>
          <w:kern w:val="2"/>
          <w:sz w:val="24"/>
          <w:szCs w:val="24"/>
          <w:lang w:eastAsia="en-GB"/>
          <w14:ligatures w14:val="standardContextual"/>
        </w:rPr>
      </w:pPr>
      <w:r>
        <w:fldChar w:fldCharType="begin"/>
      </w:r>
      <w:r>
        <w:instrText xml:space="preserve"> TOC \o "1-1" \h \z \t "Heading 2,2" </w:instrText>
      </w:r>
      <w:r>
        <w:fldChar w:fldCharType="separate"/>
      </w:r>
      <w:hyperlink w:anchor="_Toc165463483" w:history="1">
        <w:r w:rsidRPr="00C554D0">
          <w:rPr>
            <w:rStyle w:val="Hyperlink"/>
          </w:rPr>
          <w:t>Message from Commissioner and Board Chairperson</w:t>
        </w:r>
        <w:r>
          <w:rPr>
            <w:webHidden/>
          </w:rPr>
          <w:tab/>
        </w:r>
        <w:r>
          <w:rPr>
            <w:webHidden/>
          </w:rPr>
          <w:fldChar w:fldCharType="begin"/>
        </w:r>
        <w:r>
          <w:rPr>
            <w:webHidden/>
          </w:rPr>
          <w:instrText xml:space="preserve"> PAGEREF _Toc165463483 \h </w:instrText>
        </w:r>
        <w:r>
          <w:rPr>
            <w:webHidden/>
          </w:rPr>
        </w:r>
        <w:r>
          <w:rPr>
            <w:webHidden/>
          </w:rPr>
          <w:fldChar w:fldCharType="separate"/>
        </w:r>
        <w:r>
          <w:rPr>
            <w:webHidden/>
          </w:rPr>
          <w:t>4</w:t>
        </w:r>
        <w:r>
          <w:rPr>
            <w:webHidden/>
          </w:rPr>
          <w:fldChar w:fldCharType="end"/>
        </w:r>
      </w:hyperlink>
    </w:p>
    <w:p w14:paraId="642EA86B" w14:textId="2B9774A6" w:rsidR="00A4636F" w:rsidRDefault="00000000">
      <w:pPr>
        <w:pStyle w:val="TOC1"/>
        <w:rPr>
          <w:rFonts w:asciiTheme="minorHAnsi" w:eastAsiaTheme="minorEastAsia" w:hAnsiTheme="minorHAnsi" w:cstheme="minorBidi"/>
          <w:b w:val="0"/>
          <w:kern w:val="2"/>
          <w:sz w:val="24"/>
          <w:szCs w:val="24"/>
          <w:lang w:eastAsia="en-GB"/>
          <w14:ligatures w14:val="standardContextual"/>
        </w:rPr>
      </w:pPr>
      <w:hyperlink w:anchor="_Toc165463484" w:history="1">
        <w:r w:rsidR="00A4636F" w:rsidRPr="00C554D0">
          <w:rPr>
            <w:rStyle w:val="Hyperlink"/>
          </w:rPr>
          <w:t>About us</w:t>
        </w:r>
        <w:r w:rsidR="00A4636F">
          <w:rPr>
            <w:webHidden/>
          </w:rPr>
          <w:tab/>
        </w:r>
        <w:r w:rsidR="00A4636F">
          <w:rPr>
            <w:webHidden/>
          </w:rPr>
          <w:fldChar w:fldCharType="begin"/>
        </w:r>
        <w:r w:rsidR="00A4636F">
          <w:rPr>
            <w:webHidden/>
          </w:rPr>
          <w:instrText xml:space="preserve"> PAGEREF _Toc165463484 \h </w:instrText>
        </w:r>
        <w:r w:rsidR="00A4636F">
          <w:rPr>
            <w:webHidden/>
          </w:rPr>
        </w:r>
        <w:r w:rsidR="00A4636F">
          <w:rPr>
            <w:webHidden/>
          </w:rPr>
          <w:fldChar w:fldCharType="separate"/>
        </w:r>
        <w:r w:rsidR="00A4636F">
          <w:rPr>
            <w:webHidden/>
          </w:rPr>
          <w:t>5</w:t>
        </w:r>
        <w:r w:rsidR="00A4636F">
          <w:rPr>
            <w:webHidden/>
          </w:rPr>
          <w:fldChar w:fldCharType="end"/>
        </w:r>
      </w:hyperlink>
    </w:p>
    <w:p w14:paraId="6D0007EE" w14:textId="76475389" w:rsidR="00A4636F" w:rsidRDefault="00000000">
      <w:pPr>
        <w:pStyle w:val="TOC2"/>
        <w:rPr>
          <w:rFonts w:asciiTheme="minorHAnsi" w:eastAsiaTheme="minorEastAsia" w:hAnsiTheme="minorHAnsi" w:cstheme="minorBidi"/>
          <w:kern w:val="2"/>
          <w:sz w:val="24"/>
          <w:szCs w:val="24"/>
          <w:lang w:eastAsia="en-GB"/>
          <w14:ligatures w14:val="standardContextual"/>
        </w:rPr>
      </w:pPr>
      <w:hyperlink w:anchor="_Toc165463485" w:history="1">
        <w:r w:rsidR="00A4636F" w:rsidRPr="00C554D0">
          <w:rPr>
            <w:rStyle w:val="Hyperlink"/>
          </w:rPr>
          <w:t>Our purpose</w:t>
        </w:r>
        <w:r w:rsidR="00A4636F">
          <w:rPr>
            <w:webHidden/>
          </w:rPr>
          <w:tab/>
        </w:r>
        <w:r w:rsidR="00A4636F">
          <w:rPr>
            <w:webHidden/>
          </w:rPr>
          <w:fldChar w:fldCharType="begin"/>
        </w:r>
        <w:r w:rsidR="00A4636F">
          <w:rPr>
            <w:webHidden/>
          </w:rPr>
          <w:instrText xml:space="preserve"> PAGEREF _Toc165463485 \h </w:instrText>
        </w:r>
        <w:r w:rsidR="00A4636F">
          <w:rPr>
            <w:webHidden/>
          </w:rPr>
        </w:r>
        <w:r w:rsidR="00A4636F">
          <w:rPr>
            <w:webHidden/>
          </w:rPr>
          <w:fldChar w:fldCharType="separate"/>
        </w:r>
        <w:r w:rsidR="00A4636F">
          <w:rPr>
            <w:webHidden/>
          </w:rPr>
          <w:t>5</w:t>
        </w:r>
        <w:r w:rsidR="00A4636F">
          <w:rPr>
            <w:webHidden/>
          </w:rPr>
          <w:fldChar w:fldCharType="end"/>
        </w:r>
      </w:hyperlink>
    </w:p>
    <w:p w14:paraId="353D275A" w14:textId="6536E2E1" w:rsidR="00A4636F" w:rsidRDefault="00000000">
      <w:pPr>
        <w:pStyle w:val="TOC2"/>
        <w:rPr>
          <w:rFonts w:asciiTheme="minorHAnsi" w:eastAsiaTheme="minorEastAsia" w:hAnsiTheme="minorHAnsi" w:cstheme="minorBidi"/>
          <w:kern w:val="2"/>
          <w:sz w:val="24"/>
          <w:szCs w:val="24"/>
          <w:lang w:eastAsia="en-GB"/>
          <w14:ligatures w14:val="standardContextual"/>
        </w:rPr>
      </w:pPr>
      <w:hyperlink w:anchor="_Toc165463486" w:history="1">
        <w:r w:rsidR="00A4636F" w:rsidRPr="00C554D0">
          <w:rPr>
            <w:rStyle w:val="Hyperlink"/>
          </w:rPr>
          <w:t>What we currently do</w:t>
        </w:r>
        <w:r w:rsidR="00A4636F">
          <w:rPr>
            <w:webHidden/>
          </w:rPr>
          <w:tab/>
        </w:r>
        <w:r w:rsidR="00A4636F">
          <w:rPr>
            <w:webHidden/>
          </w:rPr>
          <w:fldChar w:fldCharType="begin"/>
        </w:r>
        <w:r w:rsidR="00A4636F">
          <w:rPr>
            <w:webHidden/>
          </w:rPr>
          <w:instrText xml:space="preserve"> PAGEREF _Toc165463486 \h </w:instrText>
        </w:r>
        <w:r w:rsidR="00A4636F">
          <w:rPr>
            <w:webHidden/>
          </w:rPr>
        </w:r>
        <w:r w:rsidR="00A4636F">
          <w:rPr>
            <w:webHidden/>
          </w:rPr>
          <w:fldChar w:fldCharType="separate"/>
        </w:r>
        <w:r w:rsidR="00A4636F">
          <w:rPr>
            <w:webHidden/>
          </w:rPr>
          <w:t>5</w:t>
        </w:r>
        <w:r w:rsidR="00A4636F">
          <w:rPr>
            <w:webHidden/>
          </w:rPr>
          <w:fldChar w:fldCharType="end"/>
        </w:r>
      </w:hyperlink>
    </w:p>
    <w:p w14:paraId="061B8522" w14:textId="5DE3289D" w:rsidR="00A4636F" w:rsidRDefault="00000000">
      <w:pPr>
        <w:pStyle w:val="TOC2"/>
        <w:rPr>
          <w:rFonts w:asciiTheme="minorHAnsi" w:eastAsiaTheme="minorEastAsia" w:hAnsiTheme="minorHAnsi" w:cstheme="minorBidi"/>
          <w:kern w:val="2"/>
          <w:sz w:val="24"/>
          <w:szCs w:val="24"/>
          <w:lang w:eastAsia="en-GB"/>
          <w14:ligatures w14:val="standardContextual"/>
        </w:rPr>
      </w:pPr>
      <w:hyperlink w:anchor="_Toc165463487" w:history="1">
        <w:r w:rsidR="00A4636F" w:rsidRPr="00C554D0">
          <w:rPr>
            <w:rStyle w:val="Hyperlink"/>
          </w:rPr>
          <w:t>Our regulatory approach</w:t>
        </w:r>
        <w:r w:rsidR="00A4636F">
          <w:rPr>
            <w:webHidden/>
          </w:rPr>
          <w:tab/>
        </w:r>
        <w:r w:rsidR="00A4636F">
          <w:rPr>
            <w:webHidden/>
          </w:rPr>
          <w:fldChar w:fldCharType="begin"/>
        </w:r>
        <w:r w:rsidR="00A4636F">
          <w:rPr>
            <w:webHidden/>
          </w:rPr>
          <w:instrText xml:space="preserve"> PAGEREF _Toc165463487 \h </w:instrText>
        </w:r>
        <w:r w:rsidR="00A4636F">
          <w:rPr>
            <w:webHidden/>
          </w:rPr>
        </w:r>
        <w:r w:rsidR="00A4636F">
          <w:rPr>
            <w:webHidden/>
          </w:rPr>
          <w:fldChar w:fldCharType="separate"/>
        </w:r>
        <w:r w:rsidR="00A4636F">
          <w:rPr>
            <w:webHidden/>
          </w:rPr>
          <w:t>5</w:t>
        </w:r>
        <w:r w:rsidR="00A4636F">
          <w:rPr>
            <w:webHidden/>
          </w:rPr>
          <w:fldChar w:fldCharType="end"/>
        </w:r>
      </w:hyperlink>
    </w:p>
    <w:p w14:paraId="68CF303B" w14:textId="7DC7CEBA" w:rsidR="00A4636F" w:rsidRDefault="00000000">
      <w:pPr>
        <w:pStyle w:val="TOC2"/>
        <w:rPr>
          <w:rFonts w:asciiTheme="minorHAnsi" w:eastAsiaTheme="minorEastAsia" w:hAnsiTheme="minorHAnsi" w:cstheme="minorBidi"/>
          <w:kern w:val="2"/>
          <w:sz w:val="24"/>
          <w:szCs w:val="24"/>
          <w:lang w:eastAsia="en-GB"/>
          <w14:ligatures w14:val="standardContextual"/>
        </w:rPr>
      </w:pPr>
      <w:hyperlink w:anchor="_Toc165463488" w:history="1">
        <w:r w:rsidR="00A4636F" w:rsidRPr="00C554D0">
          <w:rPr>
            <w:rStyle w:val="Hyperlink"/>
          </w:rPr>
          <w:t>Our operating environment</w:t>
        </w:r>
        <w:r w:rsidR="00A4636F">
          <w:rPr>
            <w:webHidden/>
          </w:rPr>
          <w:tab/>
        </w:r>
        <w:r w:rsidR="00A4636F">
          <w:rPr>
            <w:webHidden/>
          </w:rPr>
          <w:fldChar w:fldCharType="begin"/>
        </w:r>
        <w:r w:rsidR="00A4636F">
          <w:rPr>
            <w:webHidden/>
          </w:rPr>
          <w:instrText xml:space="preserve"> PAGEREF _Toc165463488 \h </w:instrText>
        </w:r>
        <w:r w:rsidR="00A4636F">
          <w:rPr>
            <w:webHidden/>
          </w:rPr>
        </w:r>
        <w:r w:rsidR="00A4636F">
          <w:rPr>
            <w:webHidden/>
          </w:rPr>
          <w:fldChar w:fldCharType="separate"/>
        </w:r>
        <w:r w:rsidR="00A4636F">
          <w:rPr>
            <w:webHidden/>
          </w:rPr>
          <w:t>7</w:t>
        </w:r>
        <w:r w:rsidR="00A4636F">
          <w:rPr>
            <w:webHidden/>
          </w:rPr>
          <w:fldChar w:fldCharType="end"/>
        </w:r>
      </w:hyperlink>
    </w:p>
    <w:p w14:paraId="6F7A4131" w14:textId="7EF06C31" w:rsidR="00A4636F" w:rsidRDefault="00000000">
      <w:pPr>
        <w:pStyle w:val="TOC1"/>
        <w:rPr>
          <w:rFonts w:asciiTheme="minorHAnsi" w:eastAsiaTheme="minorEastAsia" w:hAnsiTheme="minorHAnsi" w:cstheme="minorBidi"/>
          <w:b w:val="0"/>
          <w:kern w:val="2"/>
          <w:sz w:val="24"/>
          <w:szCs w:val="24"/>
          <w:lang w:eastAsia="en-GB"/>
          <w14:ligatures w14:val="standardContextual"/>
        </w:rPr>
      </w:pPr>
      <w:hyperlink w:anchor="_Toc165463489" w:history="1">
        <w:r w:rsidR="00A4636F" w:rsidRPr="00C554D0">
          <w:rPr>
            <w:rStyle w:val="Hyperlink"/>
          </w:rPr>
          <w:t>Our values</w:t>
        </w:r>
        <w:r w:rsidR="00A4636F">
          <w:rPr>
            <w:webHidden/>
          </w:rPr>
          <w:tab/>
        </w:r>
        <w:r w:rsidR="00A4636F">
          <w:rPr>
            <w:webHidden/>
          </w:rPr>
          <w:fldChar w:fldCharType="begin"/>
        </w:r>
        <w:r w:rsidR="00A4636F">
          <w:rPr>
            <w:webHidden/>
          </w:rPr>
          <w:instrText xml:space="preserve"> PAGEREF _Toc165463489 \h </w:instrText>
        </w:r>
        <w:r w:rsidR="00A4636F">
          <w:rPr>
            <w:webHidden/>
          </w:rPr>
        </w:r>
        <w:r w:rsidR="00A4636F">
          <w:rPr>
            <w:webHidden/>
          </w:rPr>
          <w:fldChar w:fldCharType="separate"/>
        </w:r>
        <w:r w:rsidR="00A4636F">
          <w:rPr>
            <w:webHidden/>
          </w:rPr>
          <w:t>9</w:t>
        </w:r>
        <w:r w:rsidR="00A4636F">
          <w:rPr>
            <w:webHidden/>
          </w:rPr>
          <w:fldChar w:fldCharType="end"/>
        </w:r>
      </w:hyperlink>
    </w:p>
    <w:p w14:paraId="4023D502" w14:textId="797E8875" w:rsidR="00A4636F" w:rsidRDefault="00000000">
      <w:pPr>
        <w:pStyle w:val="TOC2"/>
        <w:rPr>
          <w:rFonts w:asciiTheme="minorHAnsi" w:eastAsiaTheme="minorEastAsia" w:hAnsiTheme="minorHAnsi" w:cstheme="minorBidi"/>
          <w:kern w:val="2"/>
          <w:sz w:val="24"/>
          <w:szCs w:val="24"/>
          <w:lang w:eastAsia="en-GB"/>
          <w14:ligatures w14:val="standardContextual"/>
        </w:rPr>
      </w:pPr>
      <w:hyperlink w:anchor="_Toc165463490" w:history="1">
        <w:r w:rsidR="00A4636F" w:rsidRPr="00C554D0">
          <w:rPr>
            <w:rStyle w:val="Hyperlink"/>
          </w:rPr>
          <w:t>Diversity and inclusion</w:t>
        </w:r>
        <w:r w:rsidR="00A4636F">
          <w:rPr>
            <w:webHidden/>
          </w:rPr>
          <w:tab/>
        </w:r>
        <w:r w:rsidR="00A4636F">
          <w:rPr>
            <w:webHidden/>
          </w:rPr>
          <w:fldChar w:fldCharType="begin"/>
        </w:r>
        <w:r w:rsidR="00A4636F">
          <w:rPr>
            <w:webHidden/>
          </w:rPr>
          <w:instrText xml:space="preserve"> PAGEREF _Toc165463490 \h </w:instrText>
        </w:r>
        <w:r w:rsidR="00A4636F">
          <w:rPr>
            <w:webHidden/>
          </w:rPr>
        </w:r>
        <w:r w:rsidR="00A4636F">
          <w:rPr>
            <w:webHidden/>
          </w:rPr>
          <w:fldChar w:fldCharType="separate"/>
        </w:r>
        <w:r w:rsidR="00A4636F">
          <w:rPr>
            <w:webHidden/>
          </w:rPr>
          <w:t>9</w:t>
        </w:r>
        <w:r w:rsidR="00A4636F">
          <w:rPr>
            <w:webHidden/>
          </w:rPr>
          <w:fldChar w:fldCharType="end"/>
        </w:r>
      </w:hyperlink>
    </w:p>
    <w:p w14:paraId="39AF9042" w14:textId="6FDB9083" w:rsidR="00A4636F" w:rsidRDefault="00000000">
      <w:pPr>
        <w:pStyle w:val="TOC2"/>
        <w:rPr>
          <w:rFonts w:asciiTheme="minorHAnsi" w:eastAsiaTheme="minorEastAsia" w:hAnsiTheme="minorHAnsi" w:cstheme="minorBidi"/>
          <w:kern w:val="2"/>
          <w:sz w:val="24"/>
          <w:szCs w:val="24"/>
          <w:lang w:eastAsia="en-GB"/>
          <w14:ligatures w14:val="standardContextual"/>
        </w:rPr>
      </w:pPr>
      <w:hyperlink w:anchor="_Toc165463491" w:history="1">
        <w:r w:rsidR="00A4636F" w:rsidRPr="00C554D0">
          <w:rPr>
            <w:rStyle w:val="Hyperlink"/>
          </w:rPr>
          <w:t>Independent and fair</w:t>
        </w:r>
        <w:r w:rsidR="00A4636F">
          <w:rPr>
            <w:webHidden/>
          </w:rPr>
          <w:tab/>
        </w:r>
        <w:r w:rsidR="00A4636F">
          <w:rPr>
            <w:webHidden/>
          </w:rPr>
          <w:fldChar w:fldCharType="begin"/>
        </w:r>
        <w:r w:rsidR="00A4636F">
          <w:rPr>
            <w:webHidden/>
          </w:rPr>
          <w:instrText xml:space="preserve"> PAGEREF _Toc165463491 \h </w:instrText>
        </w:r>
        <w:r w:rsidR="00A4636F">
          <w:rPr>
            <w:webHidden/>
          </w:rPr>
        </w:r>
        <w:r w:rsidR="00A4636F">
          <w:rPr>
            <w:webHidden/>
          </w:rPr>
          <w:fldChar w:fldCharType="separate"/>
        </w:r>
        <w:r w:rsidR="00A4636F">
          <w:rPr>
            <w:webHidden/>
          </w:rPr>
          <w:t>9</w:t>
        </w:r>
        <w:r w:rsidR="00A4636F">
          <w:rPr>
            <w:webHidden/>
          </w:rPr>
          <w:fldChar w:fldCharType="end"/>
        </w:r>
      </w:hyperlink>
    </w:p>
    <w:p w14:paraId="1F3E0859" w14:textId="6D24DE5F" w:rsidR="00A4636F" w:rsidRDefault="00000000">
      <w:pPr>
        <w:pStyle w:val="TOC2"/>
        <w:rPr>
          <w:rFonts w:asciiTheme="minorHAnsi" w:eastAsiaTheme="minorEastAsia" w:hAnsiTheme="minorHAnsi" w:cstheme="minorBidi"/>
          <w:kern w:val="2"/>
          <w:sz w:val="24"/>
          <w:szCs w:val="24"/>
          <w:lang w:eastAsia="en-GB"/>
          <w14:ligatures w14:val="standardContextual"/>
        </w:rPr>
      </w:pPr>
      <w:hyperlink w:anchor="_Toc165463492" w:history="1">
        <w:r w:rsidR="00A4636F" w:rsidRPr="00C554D0">
          <w:rPr>
            <w:rStyle w:val="Hyperlink"/>
          </w:rPr>
          <w:t>Fearless and accountable</w:t>
        </w:r>
        <w:r w:rsidR="00A4636F">
          <w:rPr>
            <w:webHidden/>
          </w:rPr>
          <w:tab/>
        </w:r>
        <w:r w:rsidR="00A4636F">
          <w:rPr>
            <w:webHidden/>
          </w:rPr>
          <w:fldChar w:fldCharType="begin"/>
        </w:r>
        <w:r w:rsidR="00A4636F">
          <w:rPr>
            <w:webHidden/>
          </w:rPr>
          <w:instrText xml:space="preserve"> PAGEREF _Toc165463492 \h </w:instrText>
        </w:r>
        <w:r w:rsidR="00A4636F">
          <w:rPr>
            <w:webHidden/>
          </w:rPr>
        </w:r>
        <w:r w:rsidR="00A4636F">
          <w:rPr>
            <w:webHidden/>
          </w:rPr>
          <w:fldChar w:fldCharType="separate"/>
        </w:r>
        <w:r w:rsidR="00A4636F">
          <w:rPr>
            <w:webHidden/>
          </w:rPr>
          <w:t>9</w:t>
        </w:r>
        <w:r w:rsidR="00A4636F">
          <w:rPr>
            <w:webHidden/>
          </w:rPr>
          <w:fldChar w:fldCharType="end"/>
        </w:r>
      </w:hyperlink>
    </w:p>
    <w:p w14:paraId="29D3060A" w14:textId="3C92DFA2" w:rsidR="00A4636F" w:rsidRDefault="00000000">
      <w:pPr>
        <w:pStyle w:val="TOC2"/>
        <w:rPr>
          <w:rFonts w:asciiTheme="minorHAnsi" w:eastAsiaTheme="minorEastAsia" w:hAnsiTheme="minorHAnsi" w:cstheme="minorBidi"/>
          <w:kern w:val="2"/>
          <w:sz w:val="24"/>
          <w:szCs w:val="24"/>
          <w:lang w:eastAsia="en-GB"/>
          <w14:ligatures w14:val="standardContextual"/>
        </w:rPr>
      </w:pPr>
      <w:hyperlink w:anchor="_Toc165463493" w:history="1">
        <w:r w:rsidR="00A4636F" w:rsidRPr="00C554D0">
          <w:rPr>
            <w:rStyle w:val="Hyperlink"/>
          </w:rPr>
          <w:t>Trust and respect</w:t>
        </w:r>
        <w:r w:rsidR="00A4636F">
          <w:rPr>
            <w:webHidden/>
          </w:rPr>
          <w:tab/>
        </w:r>
        <w:r w:rsidR="00A4636F">
          <w:rPr>
            <w:webHidden/>
          </w:rPr>
          <w:fldChar w:fldCharType="begin"/>
        </w:r>
        <w:r w:rsidR="00A4636F">
          <w:rPr>
            <w:webHidden/>
          </w:rPr>
          <w:instrText xml:space="preserve"> PAGEREF _Toc165463493 \h </w:instrText>
        </w:r>
        <w:r w:rsidR="00A4636F">
          <w:rPr>
            <w:webHidden/>
          </w:rPr>
        </w:r>
        <w:r w:rsidR="00A4636F">
          <w:rPr>
            <w:webHidden/>
          </w:rPr>
          <w:fldChar w:fldCharType="separate"/>
        </w:r>
        <w:r w:rsidR="00A4636F">
          <w:rPr>
            <w:webHidden/>
          </w:rPr>
          <w:t>9</w:t>
        </w:r>
        <w:r w:rsidR="00A4636F">
          <w:rPr>
            <w:webHidden/>
          </w:rPr>
          <w:fldChar w:fldCharType="end"/>
        </w:r>
      </w:hyperlink>
    </w:p>
    <w:p w14:paraId="1F9B80F5" w14:textId="00F531E9" w:rsidR="00A4636F" w:rsidRDefault="00000000">
      <w:pPr>
        <w:pStyle w:val="TOC2"/>
        <w:rPr>
          <w:rFonts w:asciiTheme="minorHAnsi" w:eastAsiaTheme="minorEastAsia" w:hAnsiTheme="minorHAnsi" w:cstheme="minorBidi"/>
          <w:kern w:val="2"/>
          <w:sz w:val="24"/>
          <w:szCs w:val="24"/>
          <w:lang w:eastAsia="en-GB"/>
          <w14:ligatures w14:val="standardContextual"/>
        </w:rPr>
      </w:pPr>
      <w:hyperlink w:anchor="_Toc165463494" w:history="1">
        <w:r w:rsidR="00A4636F" w:rsidRPr="00C554D0">
          <w:rPr>
            <w:rStyle w:val="Hyperlink"/>
          </w:rPr>
          <w:t>Empathy and dignity</w:t>
        </w:r>
        <w:r w:rsidR="00A4636F">
          <w:rPr>
            <w:webHidden/>
          </w:rPr>
          <w:tab/>
        </w:r>
        <w:r w:rsidR="00A4636F">
          <w:rPr>
            <w:webHidden/>
          </w:rPr>
          <w:fldChar w:fldCharType="begin"/>
        </w:r>
        <w:r w:rsidR="00A4636F">
          <w:rPr>
            <w:webHidden/>
          </w:rPr>
          <w:instrText xml:space="preserve"> PAGEREF _Toc165463494 \h </w:instrText>
        </w:r>
        <w:r w:rsidR="00A4636F">
          <w:rPr>
            <w:webHidden/>
          </w:rPr>
        </w:r>
        <w:r w:rsidR="00A4636F">
          <w:rPr>
            <w:webHidden/>
          </w:rPr>
          <w:fldChar w:fldCharType="separate"/>
        </w:r>
        <w:r w:rsidR="00A4636F">
          <w:rPr>
            <w:webHidden/>
          </w:rPr>
          <w:t>9</w:t>
        </w:r>
        <w:r w:rsidR="00A4636F">
          <w:rPr>
            <w:webHidden/>
          </w:rPr>
          <w:fldChar w:fldCharType="end"/>
        </w:r>
      </w:hyperlink>
    </w:p>
    <w:p w14:paraId="2BAEE9E2" w14:textId="01D2FBF2" w:rsidR="00A4636F" w:rsidRDefault="00000000">
      <w:pPr>
        <w:pStyle w:val="TOC1"/>
        <w:rPr>
          <w:rFonts w:asciiTheme="minorHAnsi" w:eastAsiaTheme="minorEastAsia" w:hAnsiTheme="minorHAnsi" w:cstheme="minorBidi"/>
          <w:b w:val="0"/>
          <w:kern w:val="2"/>
          <w:sz w:val="24"/>
          <w:szCs w:val="24"/>
          <w:lang w:eastAsia="en-GB"/>
          <w14:ligatures w14:val="standardContextual"/>
        </w:rPr>
      </w:pPr>
      <w:hyperlink w:anchor="_Toc165463495" w:history="1">
        <w:r w:rsidR="00A4636F" w:rsidRPr="00C554D0">
          <w:rPr>
            <w:rStyle w:val="Hyperlink"/>
          </w:rPr>
          <w:t>Our Scheme strategic plan 2022–24</w:t>
        </w:r>
        <w:r w:rsidR="00A4636F">
          <w:rPr>
            <w:webHidden/>
          </w:rPr>
          <w:tab/>
        </w:r>
        <w:r w:rsidR="00A4636F">
          <w:rPr>
            <w:webHidden/>
          </w:rPr>
          <w:fldChar w:fldCharType="begin"/>
        </w:r>
        <w:r w:rsidR="00A4636F">
          <w:rPr>
            <w:webHidden/>
          </w:rPr>
          <w:instrText xml:space="preserve"> PAGEREF _Toc165463495 \h </w:instrText>
        </w:r>
        <w:r w:rsidR="00A4636F">
          <w:rPr>
            <w:webHidden/>
          </w:rPr>
        </w:r>
        <w:r w:rsidR="00A4636F">
          <w:rPr>
            <w:webHidden/>
          </w:rPr>
          <w:fldChar w:fldCharType="separate"/>
        </w:r>
        <w:r w:rsidR="00A4636F">
          <w:rPr>
            <w:webHidden/>
          </w:rPr>
          <w:t>9</w:t>
        </w:r>
        <w:r w:rsidR="00A4636F">
          <w:rPr>
            <w:webHidden/>
          </w:rPr>
          <w:fldChar w:fldCharType="end"/>
        </w:r>
      </w:hyperlink>
    </w:p>
    <w:p w14:paraId="704F4363" w14:textId="74DAFF5D" w:rsidR="00A4636F" w:rsidRDefault="00000000">
      <w:pPr>
        <w:pStyle w:val="TOC2"/>
        <w:rPr>
          <w:rFonts w:asciiTheme="minorHAnsi" w:eastAsiaTheme="minorEastAsia" w:hAnsiTheme="minorHAnsi" w:cstheme="minorBidi"/>
          <w:kern w:val="2"/>
          <w:sz w:val="24"/>
          <w:szCs w:val="24"/>
          <w:lang w:eastAsia="en-GB"/>
          <w14:ligatures w14:val="standardContextual"/>
        </w:rPr>
      </w:pPr>
      <w:hyperlink w:anchor="_Toc165463496" w:history="1">
        <w:r w:rsidR="00A4636F" w:rsidRPr="00C554D0">
          <w:rPr>
            <w:rStyle w:val="Hyperlink"/>
          </w:rPr>
          <w:t>About the Corporate Plan 2022–24</w:t>
        </w:r>
        <w:r w:rsidR="00A4636F">
          <w:rPr>
            <w:webHidden/>
          </w:rPr>
          <w:tab/>
        </w:r>
        <w:r w:rsidR="00A4636F">
          <w:rPr>
            <w:webHidden/>
          </w:rPr>
          <w:fldChar w:fldCharType="begin"/>
        </w:r>
        <w:r w:rsidR="00A4636F">
          <w:rPr>
            <w:webHidden/>
          </w:rPr>
          <w:instrText xml:space="preserve"> PAGEREF _Toc165463496 \h </w:instrText>
        </w:r>
        <w:r w:rsidR="00A4636F">
          <w:rPr>
            <w:webHidden/>
          </w:rPr>
        </w:r>
        <w:r w:rsidR="00A4636F">
          <w:rPr>
            <w:webHidden/>
          </w:rPr>
          <w:fldChar w:fldCharType="separate"/>
        </w:r>
        <w:r w:rsidR="00A4636F">
          <w:rPr>
            <w:webHidden/>
          </w:rPr>
          <w:t>9</w:t>
        </w:r>
        <w:r w:rsidR="00A4636F">
          <w:rPr>
            <w:webHidden/>
          </w:rPr>
          <w:fldChar w:fldCharType="end"/>
        </w:r>
      </w:hyperlink>
    </w:p>
    <w:p w14:paraId="2BD92753" w14:textId="0C8F9B5F" w:rsidR="00A4636F" w:rsidRDefault="00000000">
      <w:pPr>
        <w:pStyle w:val="TOC2"/>
        <w:rPr>
          <w:rFonts w:asciiTheme="minorHAnsi" w:eastAsiaTheme="minorEastAsia" w:hAnsiTheme="minorHAnsi" w:cstheme="minorBidi"/>
          <w:kern w:val="2"/>
          <w:sz w:val="24"/>
          <w:szCs w:val="24"/>
          <w:lang w:eastAsia="en-GB"/>
          <w14:ligatures w14:val="standardContextual"/>
        </w:rPr>
      </w:pPr>
      <w:hyperlink w:anchor="_Toc165463497" w:history="1">
        <w:r w:rsidR="00A4636F" w:rsidRPr="00C554D0">
          <w:rPr>
            <w:rStyle w:val="Hyperlink"/>
          </w:rPr>
          <w:t>Our maturity model</w:t>
        </w:r>
        <w:r w:rsidR="00A4636F">
          <w:rPr>
            <w:webHidden/>
          </w:rPr>
          <w:tab/>
        </w:r>
        <w:r w:rsidR="00A4636F">
          <w:rPr>
            <w:webHidden/>
          </w:rPr>
          <w:fldChar w:fldCharType="begin"/>
        </w:r>
        <w:r w:rsidR="00A4636F">
          <w:rPr>
            <w:webHidden/>
          </w:rPr>
          <w:instrText xml:space="preserve"> PAGEREF _Toc165463497 \h </w:instrText>
        </w:r>
        <w:r w:rsidR="00A4636F">
          <w:rPr>
            <w:webHidden/>
          </w:rPr>
        </w:r>
        <w:r w:rsidR="00A4636F">
          <w:rPr>
            <w:webHidden/>
          </w:rPr>
          <w:fldChar w:fldCharType="separate"/>
        </w:r>
        <w:r w:rsidR="00A4636F">
          <w:rPr>
            <w:webHidden/>
          </w:rPr>
          <w:t>10</w:t>
        </w:r>
        <w:r w:rsidR="00A4636F">
          <w:rPr>
            <w:webHidden/>
          </w:rPr>
          <w:fldChar w:fldCharType="end"/>
        </w:r>
      </w:hyperlink>
    </w:p>
    <w:p w14:paraId="44C66675" w14:textId="175D870D" w:rsidR="00A4636F" w:rsidRDefault="00000000">
      <w:pPr>
        <w:pStyle w:val="TOC1"/>
        <w:rPr>
          <w:rFonts w:asciiTheme="minorHAnsi" w:eastAsiaTheme="minorEastAsia" w:hAnsiTheme="minorHAnsi" w:cstheme="minorBidi"/>
          <w:b w:val="0"/>
          <w:kern w:val="2"/>
          <w:sz w:val="24"/>
          <w:szCs w:val="24"/>
          <w:lang w:eastAsia="en-GB"/>
          <w14:ligatures w14:val="standardContextual"/>
        </w:rPr>
      </w:pPr>
      <w:hyperlink w:anchor="_Toc165463498" w:history="1">
        <w:r w:rsidR="00A4636F" w:rsidRPr="00C554D0">
          <w:rPr>
            <w:rStyle w:val="Hyperlink"/>
          </w:rPr>
          <w:t>Our focus for 2023–24</w:t>
        </w:r>
        <w:r w:rsidR="00A4636F">
          <w:rPr>
            <w:webHidden/>
          </w:rPr>
          <w:tab/>
        </w:r>
        <w:r w:rsidR="00A4636F">
          <w:rPr>
            <w:webHidden/>
          </w:rPr>
          <w:fldChar w:fldCharType="begin"/>
        </w:r>
        <w:r w:rsidR="00A4636F">
          <w:rPr>
            <w:webHidden/>
          </w:rPr>
          <w:instrText xml:space="preserve"> PAGEREF _Toc165463498 \h </w:instrText>
        </w:r>
        <w:r w:rsidR="00A4636F">
          <w:rPr>
            <w:webHidden/>
          </w:rPr>
        </w:r>
        <w:r w:rsidR="00A4636F">
          <w:rPr>
            <w:webHidden/>
          </w:rPr>
          <w:fldChar w:fldCharType="separate"/>
        </w:r>
        <w:r w:rsidR="00A4636F">
          <w:rPr>
            <w:webHidden/>
          </w:rPr>
          <w:t>13</w:t>
        </w:r>
        <w:r w:rsidR="00A4636F">
          <w:rPr>
            <w:webHidden/>
          </w:rPr>
          <w:fldChar w:fldCharType="end"/>
        </w:r>
      </w:hyperlink>
    </w:p>
    <w:p w14:paraId="0A555F0A" w14:textId="66941890" w:rsidR="00A4636F" w:rsidRDefault="00000000">
      <w:pPr>
        <w:pStyle w:val="TOC1"/>
        <w:rPr>
          <w:rFonts w:asciiTheme="minorHAnsi" w:eastAsiaTheme="minorEastAsia" w:hAnsiTheme="minorHAnsi" w:cstheme="minorBidi"/>
          <w:b w:val="0"/>
          <w:kern w:val="2"/>
          <w:sz w:val="24"/>
          <w:szCs w:val="24"/>
          <w:lang w:eastAsia="en-GB"/>
          <w14:ligatures w14:val="standardContextual"/>
        </w:rPr>
      </w:pPr>
      <w:hyperlink w:anchor="_Toc165463499" w:history="1">
        <w:r w:rsidR="00A4636F" w:rsidRPr="00C554D0">
          <w:rPr>
            <w:rStyle w:val="Hyperlink"/>
          </w:rPr>
          <w:t>Tracking our performance</w:t>
        </w:r>
        <w:r w:rsidR="00A4636F">
          <w:rPr>
            <w:webHidden/>
          </w:rPr>
          <w:tab/>
        </w:r>
        <w:r w:rsidR="00A4636F">
          <w:rPr>
            <w:webHidden/>
          </w:rPr>
          <w:fldChar w:fldCharType="begin"/>
        </w:r>
        <w:r w:rsidR="00A4636F">
          <w:rPr>
            <w:webHidden/>
          </w:rPr>
          <w:instrText xml:space="preserve"> PAGEREF _Toc165463499 \h </w:instrText>
        </w:r>
        <w:r w:rsidR="00A4636F">
          <w:rPr>
            <w:webHidden/>
          </w:rPr>
        </w:r>
        <w:r w:rsidR="00A4636F">
          <w:rPr>
            <w:webHidden/>
          </w:rPr>
          <w:fldChar w:fldCharType="separate"/>
        </w:r>
        <w:r w:rsidR="00A4636F">
          <w:rPr>
            <w:webHidden/>
          </w:rPr>
          <w:t>16</w:t>
        </w:r>
        <w:r w:rsidR="00A4636F">
          <w:rPr>
            <w:webHidden/>
          </w:rPr>
          <w:fldChar w:fldCharType="end"/>
        </w:r>
      </w:hyperlink>
    </w:p>
    <w:p w14:paraId="082BAF85" w14:textId="7845B89E" w:rsidR="00A4636F" w:rsidRDefault="00000000">
      <w:pPr>
        <w:pStyle w:val="TOC2"/>
        <w:rPr>
          <w:rFonts w:asciiTheme="minorHAnsi" w:eastAsiaTheme="minorEastAsia" w:hAnsiTheme="minorHAnsi" w:cstheme="minorBidi"/>
          <w:kern w:val="2"/>
          <w:sz w:val="24"/>
          <w:szCs w:val="24"/>
          <w:lang w:eastAsia="en-GB"/>
          <w14:ligatures w14:val="standardContextual"/>
        </w:rPr>
      </w:pPr>
      <w:hyperlink w:anchor="_Toc165463500" w:history="1">
        <w:r w:rsidR="00A4636F" w:rsidRPr="00C554D0">
          <w:rPr>
            <w:rStyle w:val="Hyperlink"/>
          </w:rPr>
          <w:t>Monthly review of key performance indicators and measures</w:t>
        </w:r>
        <w:r w:rsidR="00A4636F">
          <w:rPr>
            <w:webHidden/>
          </w:rPr>
          <w:tab/>
        </w:r>
        <w:r w:rsidR="00A4636F">
          <w:rPr>
            <w:webHidden/>
          </w:rPr>
          <w:fldChar w:fldCharType="begin"/>
        </w:r>
        <w:r w:rsidR="00A4636F">
          <w:rPr>
            <w:webHidden/>
          </w:rPr>
          <w:instrText xml:space="preserve"> PAGEREF _Toc165463500 \h </w:instrText>
        </w:r>
        <w:r w:rsidR="00A4636F">
          <w:rPr>
            <w:webHidden/>
          </w:rPr>
        </w:r>
        <w:r w:rsidR="00A4636F">
          <w:rPr>
            <w:webHidden/>
          </w:rPr>
          <w:fldChar w:fldCharType="separate"/>
        </w:r>
        <w:r w:rsidR="00A4636F">
          <w:rPr>
            <w:webHidden/>
          </w:rPr>
          <w:t>16</w:t>
        </w:r>
        <w:r w:rsidR="00A4636F">
          <w:rPr>
            <w:webHidden/>
          </w:rPr>
          <w:fldChar w:fldCharType="end"/>
        </w:r>
      </w:hyperlink>
    </w:p>
    <w:p w14:paraId="0EF92D3A" w14:textId="2B99E426" w:rsidR="00A4636F" w:rsidRDefault="00000000">
      <w:pPr>
        <w:pStyle w:val="TOC2"/>
        <w:rPr>
          <w:rFonts w:asciiTheme="minorHAnsi" w:eastAsiaTheme="minorEastAsia" w:hAnsiTheme="minorHAnsi" w:cstheme="minorBidi"/>
          <w:kern w:val="2"/>
          <w:sz w:val="24"/>
          <w:szCs w:val="24"/>
          <w:lang w:eastAsia="en-GB"/>
          <w14:ligatures w14:val="standardContextual"/>
        </w:rPr>
      </w:pPr>
      <w:hyperlink w:anchor="_Toc165463501" w:history="1">
        <w:r w:rsidR="00A4636F" w:rsidRPr="00C554D0">
          <w:rPr>
            <w:rStyle w:val="Hyperlink"/>
          </w:rPr>
          <w:t>Performance reporting against our business plan</w:t>
        </w:r>
        <w:r w:rsidR="00A4636F">
          <w:rPr>
            <w:webHidden/>
          </w:rPr>
          <w:tab/>
        </w:r>
        <w:r w:rsidR="00A4636F">
          <w:rPr>
            <w:webHidden/>
          </w:rPr>
          <w:fldChar w:fldCharType="begin"/>
        </w:r>
        <w:r w:rsidR="00A4636F">
          <w:rPr>
            <w:webHidden/>
          </w:rPr>
          <w:instrText xml:space="preserve"> PAGEREF _Toc165463501 \h </w:instrText>
        </w:r>
        <w:r w:rsidR="00A4636F">
          <w:rPr>
            <w:webHidden/>
          </w:rPr>
        </w:r>
        <w:r w:rsidR="00A4636F">
          <w:rPr>
            <w:webHidden/>
          </w:rPr>
          <w:fldChar w:fldCharType="separate"/>
        </w:r>
        <w:r w:rsidR="00A4636F">
          <w:rPr>
            <w:webHidden/>
          </w:rPr>
          <w:t>16</w:t>
        </w:r>
        <w:r w:rsidR="00A4636F">
          <w:rPr>
            <w:webHidden/>
          </w:rPr>
          <w:fldChar w:fldCharType="end"/>
        </w:r>
      </w:hyperlink>
    </w:p>
    <w:p w14:paraId="0848CE7C" w14:textId="165E4EE4" w:rsidR="00A4636F" w:rsidRDefault="00000000">
      <w:pPr>
        <w:pStyle w:val="TOC2"/>
        <w:rPr>
          <w:rFonts w:asciiTheme="minorHAnsi" w:eastAsiaTheme="minorEastAsia" w:hAnsiTheme="minorHAnsi" w:cstheme="minorBidi"/>
          <w:kern w:val="2"/>
          <w:sz w:val="24"/>
          <w:szCs w:val="24"/>
          <w:lang w:eastAsia="en-GB"/>
          <w14:ligatures w14:val="standardContextual"/>
        </w:rPr>
      </w:pPr>
      <w:hyperlink w:anchor="_Toc165463502" w:history="1">
        <w:r w:rsidR="00A4636F" w:rsidRPr="00C554D0">
          <w:rPr>
            <w:rStyle w:val="Hyperlink"/>
          </w:rPr>
          <w:t>Statement of expectations</w:t>
        </w:r>
        <w:r w:rsidR="00A4636F">
          <w:rPr>
            <w:webHidden/>
          </w:rPr>
          <w:tab/>
        </w:r>
        <w:r w:rsidR="00A4636F">
          <w:rPr>
            <w:webHidden/>
          </w:rPr>
          <w:fldChar w:fldCharType="begin"/>
        </w:r>
        <w:r w:rsidR="00A4636F">
          <w:rPr>
            <w:webHidden/>
          </w:rPr>
          <w:instrText xml:space="preserve"> PAGEREF _Toc165463502 \h </w:instrText>
        </w:r>
        <w:r w:rsidR="00A4636F">
          <w:rPr>
            <w:webHidden/>
          </w:rPr>
        </w:r>
        <w:r w:rsidR="00A4636F">
          <w:rPr>
            <w:webHidden/>
          </w:rPr>
          <w:fldChar w:fldCharType="separate"/>
        </w:r>
        <w:r w:rsidR="00A4636F">
          <w:rPr>
            <w:webHidden/>
          </w:rPr>
          <w:t>16</w:t>
        </w:r>
        <w:r w:rsidR="00A4636F">
          <w:rPr>
            <w:webHidden/>
          </w:rPr>
          <w:fldChar w:fldCharType="end"/>
        </w:r>
      </w:hyperlink>
    </w:p>
    <w:p w14:paraId="6C26184D" w14:textId="5CF7E16C" w:rsidR="00A4636F" w:rsidRDefault="00000000">
      <w:pPr>
        <w:pStyle w:val="TOC1"/>
        <w:rPr>
          <w:rFonts w:asciiTheme="minorHAnsi" w:eastAsiaTheme="minorEastAsia" w:hAnsiTheme="minorHAnsi" w:cstheme="minorBidi"/>
          <w:b w:val="0"/>
          <w:kern w:val="2"/>
          <w:sz w:val="24"/>
          <w:szCs w:val="24"/>
          <w:lang w:eastAsia="en-GB"/>
          <w14:ligatures w14:val="standardContextual"/>
        </w:rPr>
      </w:pPr>
      <w:hyperlink w:anchor="_Toc165463503" w:history="1">
        <w:r w:rsidR="00A4636F" w:rsidRPr="00C554D0">
          <w:rPr>
            <w:rStyle w:val="Hyperlink"/>
          </w:rPr>
          <w:t>Approach to risk management</w:t>
        </w:r>
        <w:r w:rsidR="00A4636F">
          <w:rPr>
            <w:webHidden/>
          </w:rPr>
          <w:tab/>
        </w:r>
        <w:r w:rsidR="00A4636F">
          <w:rPr>
            <w:webHidden/>
          </w:rPr>
          <w:fldChar w:fldCharType="begin"/>
        </w:r>
        <w:r w:rsidR="00A4636F">
          <w:rPr>
            <w:webHidden/>
          </w:rPr>
          <w:instrText xml:space="preserve"> PAGEREF _Toc165463503 \h </w:instrText>
        </w:r>
        <w:r w:rsidR="00A4636F">
          <w:rPr>
            <w:webHidden/>
          </w:rPr>
        </w:r>
        <w:r w:rsidR="00A4636F">
          <w:rPr>
            <w:webHidden/>
          </w:rPr>
          <w:fldChar w:fldCharType="separate"/>
        </w:r>
        <w:r w:rsidR="00A4636F">
          <w:rPr>
            <w:webHidden/>
          </w:rPr>
          <w:t>17</w:t>
        </w:r>
        <w:r w:rsidR="00A4636F">
          <w:rPr>
            <w:webHidden/>
          </w:rPr>
          <w:fldChar w:fldCharType="end"/>
        </w:r>
      </w:hyperlink>
    </w:p>
    <w:p w14:paraId="457885FF" w14:textId="2C8FDDC1" w:rsidR="002E37B1" w:rsidRPr="00A4636F" w:rsidRDefault="00A4636F">
      <w:r>
        <w:rPr>
          <w:rFonts w:ascii="Arial" w:hAnsi="Arial"/>
          <w:noProof/>
        </w:rPr>
        <w:fldChar w:fldCharType="end"/>
      </w:r>
      <w:r w:rsidR="002E37B1">
        <w:br w:type="page"/>
      </w:r>
    </w:p>
    <w:p w14:paraId="058E562B" w14:textId="77777777" w:rsidR="00C23573" w:rsidRDefault="00C23573" w:rsidP="00C23573">
      <w:pPr>
        <w:pStyle w:val="Heading1"/>
        <w:rPr>
          <w:rFonts w:ascii="VIC" w:hAnsi="VIC" w:cs="VIC"/>
          <w:color w:val="04003F"/>
          <w:sz w:val="19"/>
          <w:szCs w:val="19"/>
        </w:rPr>
      </w:pPr>
      <w:bookmarkStart w:id="2" w:name="_Toc165463483"/>
      <w:r>
        <w:lastRenderedPageBreak/>
        <w:t xml:space="preserve">Message </w:t>
      </w:r>
      <w:r w:rsidRPr="00C23573">
        <w:t>from</w:t>
      </w:r>
      <w:r>
        <w:t xml:space="preserve"> Commissioner and Board Chairperson</w:t>
      </w:r>
      <w:bookmarkEnd w:id="2"/>
    </w:p>
    <w:p w14:paraId="408C72FB" w14:textId="562C2C82" w:rsidR="00C23573" w:rsidRPr="00C23573" w:rsidRDefault="00C23573" w:rsidP="00C23573">
      <w:pPr>
        <w:pStyle w:val="Body"/>
      </w:pPr>
      <w:r w:rsidRPr="00C23573">
        <w:t>We are pleased to present this corporate plan, which sets out how the Commission will implement the Board and Commission’s joint strategic plan in 2023–24. This corporate plan builds on the foundations of the first three years of building and implementing the Disability Worker Regulation Scheme.</w:t>
      </w:r>
    </w:p>
    <w:p w14:paraId="6723EC56" w14:textId="77777777" w:rsidR="00C23573" w:rsidRPr="00C23573" w:rsidRDefault="00C23573" w:rsidP="00C23573">
      <w:pPr>
        <w:pStyle w:val="Body"/>
      </w:pPr>
      <w:r w:rsidRPr="00C23573">
        <w:t>In this fourth year of delivering regulatory operations for the Commission and third year of registration for the Board, we are pleased to be driving a number of areas of important work to ensure the long-term sustainability of the Scheme. We are nevertheless also aware of many of the challenges ahead of us as we work to achieve our strategic outcomes.</w:t>
      </w:r>
    </w:p>
    <w:p w14:paraId="682E8152" w14:textId="77777777" w:rsidR="00C23573" w:rsidRPr="00C23573" w:rsidRDefault="00C23573" w:rsidP="00C23573">
      <w:pPr>
        <w:pStyle w:val="Body"/>
      </w:pPr>
      <w:r w:rsidRPr="00C23573">
        <w:t>Whilst we continue the essential parts of our work of taking complaints, receiving notifications and registering disability workers and practitioners, this plan highlights the key actions to achieve our priorities over the next year. In line with the stage of development of the Board and Commission, our strategic activities are focused on engaging with the disability community, ensuring stakeholders come to us with complaints and notifications, promotion of high standards for workers and developing our capacity to achieve a high quality and safe disability workforce in Victoria.</w:t>
      </w:r>
    </w:p>
    <w:p w14:paraId="5B241E13" w14:textId="77777777" w:rsidR="00C23573" w:rsidRPr="00C23573" w:rsidRDefault="00C23573" w:rsidP="00C23573">
      <w:pPr>
        <w:pStyle w:val="Body"/>
      </w:pPr>
      <w:r w:rsidRPr="00C23573">
        <w:t>In particular we are looking at engaging with the disability community to: (1) further increase the number of complaints and notifications regarding unsafe or poor-quality disability services; and (2) grow the number of disability worker registrations in key parts of the sector. In identifying our key strategic actions and projects for the next financial year we have given urgency to those that have the biggest impact for our organisation as well as benefits to our stakeholders.</w:t>
      </w:r>
    </w:p>
    <w:p w14:paraId="13A29F57" w14:textId="77777777" w:rsidR="00C23573" w:rsidRPr="00C23573" w:rsidRDefault="00C23573" w:rsidP="00C23573">
      <w:pPr>
        <w:pStyle w:val="Body"/>
      </w:pPr>
      <w:r w:rsidRPr="00C23573">
        <w:t xml:space="preserve"> We are aware of the difficulties that the shortage of workers has had on our sector and its range of implications. We are committed to work closely with our stakeholders in the implementation of the scheme so that together we can attract high-quality workers to the sector and make a real difference to people living with disability.</w:t>
      </w:r>
    </w:p>
    <w:p w14:paraId="60C77750" w14:textId="77777777" w:rsidR="00C23573" w:rsidRDefault="00C23573" w:rsidP="00C23573">
      <w:pPr>
        <w:pStyle w:val="Body"/>
      </w:pPr>
      <w:r w:rsidRPr="00C23573">
        <w:t>The corporate plan does not provide detail on the 2024–25 actions as the Commission has only received budget allocation until June 2024. We have limited our annual planning to known resources whilst we operate on the basis that for the following year we will receive a similar budget to this year, plus funding for some specific areas of work. In a way it is an ambitious corporate plan; however, it is one we believe we can achieve.</w:t>
      </w:r>
    </w:p>
    <w:p w14:paraId="09F37E81" w14:textId="77777777" w:rsidR="00C23573" w:rsidRPr="00C23573" w:rsidRDefault="00C23573" w:rsidP="00C23573">
      <w:pPr>
        <w:pStyle w:val="Body"/>
      </w:pPr>
      <w:r w:rsidRPr="00C23573">
        <w:t>Dan Stubbs</w:t>
      </w:r>
      <w:r w:rsidRPr="00C23573">
        <w:br/>
        <w:t>Commissioner</w:t>
      </w:r>
      <w:r w:rsidRPr="00C23573">
        <w:br/>
        <w:t>Victorian Disability Worker Commission</w:t>
      </w:r>
    </w:p>
    <w:p w14:paraId="64C18645" w14:textId="77777777" w:rsidR="00C23573" w:rsidRPr="00C23573" w:rsidRDefault="00C23573" w:rsidP="00C23573">
      <w:pPr>
        <w:pStyle w:val="Body"/>
      </w:pPr>
      <w:r w:rsidRPr="00C23573">
        <w:t>Melanie Eagle</w:t>
      </w:r>
      <w:r w:rsidRPr="00C23573">
        <w:br/>
        <w:t>Chairperson</w:t>
      </w:r>
      <w:r w:rsidRPr="00C23573">
        <w:br/>
        <w:t>Disability Worker Registration Board of Victoria</w:t>
      </w:r>
    </w:p>
    <w:p w14:paraId="5CCA5D02" w14:textId="77777777" w:rsidR="00C23573" w:rsidRPr="00C23573" w:rsidRDefault="00C23573" w:rsidP="00C23573">
      <w:pPr>
        <w:pStyle w:val="Body"/>
      </w:pPr>
    </w:p>
    <w:p w14:paraId="5F39266E" w14:textId="77777777" w:rsidR="00C23573" w:rsidRPr="00C23573" w:rsidRDefault="00C23573" w:rsidP="00C23573">
      <w:pPr>
        <w:pStyle w:val="Heading1"/>
      </w:pPr>
      <w:bookmarkStart w:id="3" w:name="_Toc165463484"/>
      <w:r w:rsidRPr="00C23573">
        <w:lastRenderedPageBreak/>
        <w:t>About us</w:t>
      </w:r>
      <w:bookmarkEnd w:id="3"/>
    </w:p>
    <w:p w14:paraId="2E843928" w14:textId="224893A8" w:rsidR="00C23573" w:rsidRDefault="00C23573" w:rsidP="00C23573">
      <w:pPr>
        <w:pStyle w:val="Heading2"/>
        <w:rPr>
          <w:rFonts w:ascii="VIC" w:hAnsi="VIC" w:cs="VIC"/>
          <w:bCs/>
          <w:sz w:val="19"/>
          <w:szCs w:val="19"/>
        </w:rPr>
      </w:pPr>
      <w:bookmarkStart w:id="4" w:name="_Toc165463485"/>
      <w:r>
        <w:t xml:space="preserve">Our </w:t>
      </w:r>
      <w:r w:rsidRPr="00C23573">
        <w:t>purpose</w:t>
      </w:r>
      <w:bookmarkEnd w:id="4"/>
    </w:p>
    <w:p w14:paraId="21917C4A" w14:textId="77777777" w:rsidR="00C23573" w:rsidRPr="00C23573" w:rsidRDefault="00C23573" w:rsidP="00C23573">
      <w:pPr>
        <w:pStyle w:val="Body"/>
      </w:pPr>
      <w:r w:rsidRPr="00C23573">
        <w:t>We regulate all workers providing disability services in Victoria, regardless of how they’re funded, setting standards for registration and training, resolving complaints and prohibiting unsafe workers.</w:t>
      </w:r>
    </w:p>
    <w:p w14:paraId="6559E4AB" w14:textId="77777777" w:rsidR="00C23573" w:rsidRPr="00C23573" w:rsidRDefault="00C23573" w:rsidP="00C23573">
      <w:pPr>
        <w:pStyle w:val="Heading2"/>
      </w:pPr>
      <w:bookmarkStart w:id="5" w:name="_Toc165463486"/>
      <w:r w:rsidRPr="00C23573">
        <w:t>What we currently do</w:t>
      </w:r>
      <w:bookmarkEnd w:id="5"/>
    </w:p>
    <w:p w14:paraId="3DCCC83A" w14:textId="77777777" w:rsidR="00C23573" w:rsidRPr="00C23573" w:rsidRDefault="00C23573" w:rsidP="00C23573">
      <w:pPr>
        <w:pStyle w:val="Body"/>
      </w:pPr>
      <w:r w:rsidRPr="00C23573">
        <w:t xml:space="preserve">This is the shared corporate plan for the Victorian Disability Worker Commission (Commission) and the Disability Worker Registration Board of Victoria (Board). </w:t>
      </w:r>
    </w:p>
    <w:p w14:paraId="742A221F" w14:textId="77777777" w:rsidR="00C23573" w:rsidRPr="00C23573" w:rsidRDefault="00C23573" w:rsidP="00C23573">
      <w:pPr>
        <w:pStyle w:val="Body"/>
      </w:pPr>
      <w:r w:rsidRPr="00C23573">
        <w:t>We manage the Disability Worker Regulation Scheme by:</w:t>
      </w:r>
    </w:p>
    <w:p w14:paraId="0F6C034A" w14:textId="77777777" w:rsidR="00C23573" w:rsidRPr="00C23573" w:rsidRDefault="00C23573" w:rsidP="00C23573">
      <w:pPr>
        <w:pStyle w:val="Bullet1"/>
      </w:pPr>
      <w:r w:rsidRPr="00C23573">
        <w:t xml:space="preserve">regulating registered disability workers through a voluntary registration scheme </w:t>
      </w:r>
    </w:p>
    <w:p w14:paraId="3DC6E375" w14:textId="77777777" w:rsidR="00C23573" w:rsidRPr="00C23573" w:rsidRDefault="00C23573" w:rsidP="00C23573">
      <w:pPr>
        <w:pStyle w:val="Bullet1"/>
      </w:pPr>
      <w:r w:rsidRPr="00C23573">
        <w:t>developing professional registration standards to promote professionalisation of the disability workforce</w:t>
      </w:r>
    </w:p>
    <w:p w14:paraId="1210D47A" w14:textId="77777777" w:rsidR="00C23573" w:rsidRPr="00C23573" w:rsidRDefault="00C23573" w:rsidP="00C23573">
      <w:pPr>
        <w:pStyle w:val="Bullet1"/>
      </w:pPr>
      <w:r w:rsidRPr="00C23573">
        <w:t xml:space="preserve">regulating the conduct of all disability workers operating in Victoria via a Code of Conduct </w:t>
      </w:r>
    </w:p>
    <w:p w14:paraId="2AB3FF0C" w14:textId="77777777" w:rsidR="00C23573" w:rsidRPr="00C23573" w:rsidRDefault="00C23573" w:rsidP="00C23573">
      <w:pPr>
        <w:pStyle w:val="Bullet1"/>
      </w:pPr>
      <w:r w:rsidRPr="00C23573">
        <w:t xml:space="preserve">investigating and responding to complaints and notifications about disability workers </w:t>
      </w:r>
    </w:p>
    <w:p w14:paraId="564C4813" w14:textId="77777777" w:rsidR="00C23573" w:rsidRPr="00C23573" w:rsidRDefault="00C23573" w:rsidP="00C23573">
      <w:pPr>
        <w:pStyle w:val="Bullet1"/>
      </w:pPr>
      <w:r w:rsidRPr="00C23573">
        <w:t>sharing appropriate information with regulators about disability workers to support quality and safety in the disability workforce.</w:t>
      </w:r>
    </w:p>
    <w:p w14:paraId="4775DD24" w14:textId="3B5F80B8" w:rsidR="00C23573" w:rsidRDefault="00C23573" w:rsidP="00C23573">
      <w:pPr>
        <w:pStyle w:val="Bodyafterbullets"/>
      </w:pPr>
      <w:r w:rsidRPr="00C23573">
        <w:t>For a</w:t>
      </w:r>
      <w:r>
        <w:t xml:space="preserve"> full list of Board and the Commission functions please see the </w:t>
      </w:r>
      <w:r>
        <w:rPr>
          <w:rStyle w:val="Italic"/>
        </w:rPr>
        <w:t>Disability Service</w:t>
      </w:r>
      <w:r w:rsidR="00996EA0">
        <w:rPr>
          <w:rStyle w:val="Italic"/>
        </w:rPr>
        <w:t xml:space="preserve"> </w:t>
      </w:r>
      <w:r>
        <w:rPr>
          <w:rStyle w:val="Italic"/>
        </w:rPr>
        <w:t>Safeguards Act 2018</w:t>
      </w:r>
      <w:r>
        <w:t>.</w:t>
      </w:r>
    </w:p>
    <w:p w14:paraId="0FB1788F" w14:textId="4CC9E84D" w:rsidR="00C23573" w:rsidRDefault="00C23573" w:rsidP="00C23573">
      <w:pPr>
        <w:pStyle w:val="Body"/>
      </w:pPr>
      <w:r w:rsidRPr="00C23573">
        <w:t>Figure 1 illustrates the interrelationships between the roles of the Commission, the</w:t>
      </w:r>
      <w:r w:rsidR="00F14582">
        <w:t xml:space="preserve"> </w:t>
      </w:r>
      <w:r w:rsidRPr="00C23573">
        <w:t>Commissioner and the Board.</w:t>
      </w:r>
    </w:p>
    <w:p w14:paraId="10359BC8" w14:textId="77777777" w:rsidR="00F14582" w:rsidRPr="00452009" w:rsidRDefault="00F14582" w:rsidP="00F14582">
      <w:pPr>
        <w:pStyle w:val="VDWCfigurecaption"/>
        <w:rPr>
          <w:rStyle w:val="Hyperlink"/>
          <w:color w:val="auto"/>
          <w:u w:val="none"/>
        </w:rPr>
      </w:pPr>
      <w:r w:rsidRPr="00F14582">
        <w:t>Figure 1: Interrelationships between the Commission, the Commissioner and the Board</w:t>
      </w:r>
    </w:p>
    <w:p w14:paraId="73A5F895" w14:textId="77777777" w:rsidR="00F14582" w:rsidRDefault="00F14582" w:rsidP="00F14582">
      <w:pPr>
        <w:pStyle w:val="VDWCbody"/>
      </w:pPr>
      <w:r>
        <w:rPr>
          <w:noProof/>
        </w:rPr>
        <w:drawing>
          <wp:inline distT="0" distB="0" distL="0" distR="0" wp14:anchorId="1092C44A" wp14:editId="69810C5E">
            <wp:extent cx="5904230" cy="2952115"/>
            <wp:effectExtent l="0" t="0" r="1270" b="0"/>
            <wp:docPr id="517659936" name="Picture 1" descr="A diagram showing interrelationships between the Commission, the Commissioner and the Board. The two boxes at the top show unregistered disability workers on the left and registered disability workers on the right. Under unregistered disability workers is a box showing the Victorian Disability Worker Commissioner. Under registered disability worker is a box showing the Disability Worker Registration Board of Victoria. Underneath these two boxes is the Victorian Disability Worker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59936" name="Picture 1" descr="A diagram showing interrelationships between the Commission, the Commissioner and the Board. The two boxes at the top show unregistered disability workers on the left and registered disability workers on the right. Under unregistered disability workers is a box showing the Victorian Disability Worker Commissioner. Under registered disability worker is a box showing the Disability Worker Registration Board of Victoria. Underneath these two boxes is the Victorian Disability Worker Commission."/>
                    <pic:cNvPicPr/>
                  </pic:nvPicPr>
                  <pic:blipFill>
                    <a:blip r:embed="rId16"/>
                    <a:stretch>
                      <a:fillRect/>
                    </a:stretch>
                  </pic:blipFill>
                  <pic:spPr>
                    <a:xfrm>
                      <a:off x="0" y="0"/>
                      <a:ext cx="5904230" cy="2952115"/>
                    </a:xfrm>
                    <a:prstGeom prst="rect">
                      <a:avLst/>
                    </a:prstGeom>
                  </pic:spPr>
                </pic:pic>
              </a:graphicData>
            </a:graphic>
          </wp:inline>
        </w:drawing>
      </w:r>
    </w:p>
    <w:p w14:paraId="266ACE8E" w14:textId="413E5D6C" w:rsidR="00C23573" w:rsidRPr="00F14582" w:rsidRDefault="00C23573" w:rsidP="00F14582">
      <w:pPr>
        <w:pStyle w:val="Heading2"/>
      </w:pPr>
      <w:bookmarkStart w:id="6" w:name="_Toc165463487"/>
      <w:r w:rsidRPr="00F14582">
        <w:t>Our regulatory approach</w:t>
      </w:r>
      <w:bookmarkEnd w:id="6"/>
    </w:p>
    <w:p w14:paraId="6A82F7CC" w14:textId="77777777" w:rsidR="00C23573" w:rsidRPr="00C23573" w:rsidRDefault="00C23573" w:rsidP="00C23573">
      <w:pPr>
        <w:pStyle w:val="Body"/>
      </w:pPr>
      <w:r w:rsidRPr="00C23573">
        <w:t xml:space="preserve">Our regulatory approach describes the work that we undertake, how we make our decisions and the types of actions that we can undertake to support our vision for people with disability to </w:t>
      </w:r>
      <w:r w:rsidRPr="00C23573">
        <w:lastRenderedPageBreak/>
        <w:t xml:space="preserve">be able to choose services that best meets their needs and supports their quality of life free from abuse and neglect. The Commission and Board published their regulatory approach on the website on 22 May 2023. </w:t>
      </w:r>
    </w:p>
    <w:p w14:paraId="0A075BEA" w14:textId="7E60B053" w:rsidR="00C23573" w:rsidRPr="00C23573" w:rsidRDefault="00C23573" w:rsidP="00C23573">
      <w:pPr>
        <w:pStyle w:val="Body"/>
      </w:pPr>
      <w:r w:rsidRPr="00C23573">
        <w:t>We regulate disability workers who provide a disability service to a person with a disability in Victoria. We also regulate supervisors and managers of disability workers providing a service.</w:t>
      </w:r>
    </w:p>
    <w:p w14:paraId="575DC9BE" w14:textId="5E595DE1" w:rsidR="00C23573" w:rsidRPr="00C23573" w:rsidRDefault="00C23573" w:rsidP="00C23573">
      <w:pPr>
        <w:pStyle w:val="Body"/>
      </w:pPr>
      <w:r w:rsidRPr="00C23573">
        <w:t>In working with stakeholders, we will seek to prevent, minimise, or avoid harms of concern and deliver on our desired regulatory outcomes. We use a number of tools in support of this approach including:</w:t>
      </w:r>
    </w:p>
    <w:p w14:paraId="44115E88" w14:textId="77777777" w:rsidR="00C23573" w:rsidRPr="00C23573" w:rsidRDefault="00C23573" w:rsidP="00C23573">
      <w:pPr>
        <w:pStyle w:val="Bullet1"/>
      </w:pPr>
      <w:r w:rsidRPr="00C23573">
        <w:t>raising awareness and educating</w:t>
      </w:r>
    </w:p>
    <w:p w14:paraId="69645F72" w14:textId="77777777" w:rsidR="00C23573" w:rsidRPr="00C23573" w:rsidRDefault="00C23573" w:rsidP="00C23573">
      <w:pPr>
        <w:pStyle w:val="Bullet1"/>
      </w:pPr>
      <w:r w:rsidRPr="00C23573">
        <w:t>setting standards for disability workers</w:t>
      </w:r>
    </w:p>
    <w:p w14:paraId="4AAE82A9" w14:textId="77777777" w:rsidR="00C23573" w:rsidRPr="00C23573" w:rsidRDefault="00C23573" w:rsidP="00C23573">
      <w:pPr>
        <w:pStyle w:val="Bullet1"/>
      </w:pPr>
      <w:r w:rsidRPr="00C23573">
        <w:t>encouraging voluntary registration</w:t>
      </w:r>
    </w:p>
    <w:p w14:paraId="23D77CF7" w14:textId="539E6241" w:rsidR="00C23573" w:rsidRPr="00C23573" w:rsidRDefault="00C23573" w:rsidP="00C23573">
      <w:pPr>
        <w:pStyle w:val="Bullet1"/>
      </w:pPr>
      <w:r w:rsidRPr="00C23573">
        <w:t>supporting compliance with the Code of Conduct and standards</w:t>
      </w:r>
    </w:p>
    <w:p w14:paraId="1CE1D4F7" w14:textId="77777777" w:rsidR="00C23573" w:rsidRPr="00C23573" w:rsidRDefault="00C23573" w:rsidP="00C23573">
      <w:pPr>
        <w:pStyle w:val="Bullet1"/>
      </w:pPr>
      <w:r w:rsidRPr="00C23573">
        <w:t>monitoring compliance and complaints.</w:t>
      </w:r>
    </w:p>
    <w:p w14:paraId="1EB3DB47" w14:textId="77777777" w:rsidR="00C23573" w:rsidRPr="00C23573" w:rsidRDefault="00C23573" w:rsidP="00C23573">
      <w:pPr>
        <w:pStyle w:val="Bodyafterbullets"/>
      </w:pPr>
      <w:r w:rsidRPr="00C23573">
        <w:t>Our regulatory principles are: collaborative, effective, accountable, fair and inclusive.</w:t>
      </w:r>
    </w:p>
    <w:p w14:paraId="7DA35B41" w14:textId="77777777" w:rsidR="00530E98" w:rsidRPr="00452009" w:rsidRDefault="00C23573" w:rsidP="00530E98">
      <w:pPr>
        <w:pStyle w:val="VDWCfigurecaption"/>
      </w:pPr>
      <w:r w:rsidRPr="00C23573">
        <w:lastRenderedPageBreak/>
        <w:t>Figure 2: Our regulatory approach</w:t>
      </w:r>
    </w:p>
    <w:p w14:paraId="7EF0C53F" w14:textId="77777777" w:rsidR="00530E98" w:rsidRPr="00993B36" w:rsidRDefault="00530E98" w:rsidP="00530E98">
      <w:pPr>
        <w:pStyle w:val="VDWCbody"/>
        <w:rPr>
          <w:lang w:val="en-GB" w:eastAsia="en-AU"/>
        </w:rPr>
      </w:pPr>
      <w:r>
        <w:rPr>
          <w:noProof/>
          <w:lang w:val="en-GB" w:eastAsia="en-AU"/>
        </w:rPr>
        <w:drawing>
          <wp:inline distT="0" distB="0" distL="0" distR="0" wp14:anchorId="1C9B92EF" wp14:editId="17608E3A">
            <wp:extent cx="5904230" cy="5810250"/>
            <wp:effectExtent l="0" t="0" r="1270" b="6350"/>
            <wp:docPr id="94875103" name="Picture 5" descr="A circular diagram depicting the regulatory approach. The outer ring depicts the Victorian Disability Worker Commissioner and the Disability Worker Registration Board of Victoria as the two statutory bodies delivering the Disability Worker Regulation Scheme. The next ring depicts the over-arching ways these bodies apply their authority and influence: enabling activities and systems, co-regulator relationships, referrals and information sharing. The inner ring depicts the methods used to deliver the approach: Raise awareness and educate; set standards for disability workers and students; encourage voluntary registration; support to comply; monitor compliance and complaints; refer, remedy and sa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5103" name="Picture 5" descr="A circular diagram depicting the regulatory approach. The outer ring depicts the Victorian Disability Worker Commissioner and the Disability Worker Registration Board of Victoria as the two statutory bodies delivering the Disability Worker Regulation Scheme. The next ring depicts the over-arching ways these bodies apply their authority and influence: enabling activities and systems, co-regulator relationships, referrals and information sharing. The inner ring depicts the methods used to deliver the approach: Raise awareness and educate; set standards for disability workers and students; encourage voluntary registration; support to comply; monitor compliance and complaints; refer, remedy and sanction."/>
                    <pic:cNvPicPr/>
                  </pic:nvPicPr>
                  <pic:blipFill>
                    <a:blip r:embed="rId17"/>
                    <a:stretch>
                      <a:fillRect/>
                    </a:stretch>
                  </pic:blipFill>
                  <pic:spPr>
                    <a:xfrm>
                      <a:off x="0" y="0"/>
                      <a:ext cx="5904230" cy="5810250"/>
                    </a:xfrm>
                    <a:prstGeom prst="rect">
                      <a:avLst/>
                    </a:prstGeom>
                  </pic:spPr>
                </pic:pic>
              </a:graphicData>
            </a:graphic>
          </wp:inline>
        </w:drawing>
      </w:r>
    </w:p>
    <w:p w14:paraId="356CB3B1" w14:textId="77777777" w:rsidR="00C23573" w:rsidRPr="00530E98" w:rsidRDefault="00C23573" w:rsidP="00530E98">
      <w:pPr>
        <w:pStyle w:val="Heading2"/>
      </w:pPr>
      <w:bookmarkStart w:id="7" w:name="_Toc165463488"/>
      <w:r w:rsidRPr="00530E98">
        <w:t>Our operating environment</w:t>
      </w:r>
      <w:bookmarkEnd w:id="7"/>
    </w:p>
    <w:p w14:paraId="2636627F" w14:textId="40FCD3B4" w:rsidR="00C23573" w:rsidRPr="00C23573" w:rsidRDefault="00C23573" w:rsidP="00C23573">
      <w:pPr>
        <w:pStyle w:val="Body"/>
      </w:pPr>
      <w:r w:rsidRPr="00C23573">
        <w:t>In Victoria, 17 per cent</w:t>
      </w:r>
      <w:r w:rsidR="00694779">
        <w:rPr>
          <w:rStyle w:val="FootnoteReference"/>
        </w:rPr>
        <w:footnoteReference w:id="2"/>
      </w:r>
      <w:r w:rsidRPr="00C23573">
        <w:t xml:space="preserve"> of people identify as having a disability. Thirty-two per cent</w:t>
      </w:r>
      <w:r w:rsidR="00236889">
        <w:rPr>
          <w:rStyle w:val="FootnoteReference"/>
        </w:rPr>
        <w:footnoteReference w:id="3"/>
      </w:r>
      <w:r w:rsidRPr="00C23573">
        <w:t xml:space="preserve"> of people with disability sometimes or always need help with self-care, mobility or communication.</w:t>
      </w:r>
    </w:p>
    <w:p w14:paraId="0F6D69C5" w14:textId="7A37D7E1" w:rsidR="00C23573" w:rsidRPr="00C23573" w:rsidRDefault="00C23573" w:rsidP="00C23573">
      <w:pPr>
        <w:pStyle w:val="Body"/>
      </w:pPr>
      <w:r w:rsidRPr="00C23573">
        <w:t>In Victoria, just over 10 per cent</w:t>
      </w:r>
      <w:r w:rsidR="00DD4FFC">
        <w:rPr>
          <w:rStyle w:val="FootnoteReference"/>
        </w:rPr>
        <w:footnoteReference w:id="4"/>
      </w:r>
      <w:r w:rsidRPr="00C23573">
        <w:t xml:space="preserve"> of the 1.1 million Victorians with disability are eligible for a National Disability Insurance Scheme (NDIS) plan. This means that many Victorians receive support outside the NDIS framework.</w:t>
      </w:r>
    </w:p>
    <w:p w14:paraId="737F76EA" w14:textId="77777777" w:rsidR="00C23573" w:rsidRPr="00C23573" w:rsidRDefault="00C23573" w:rsidP="00C23573">
      <w:pPr>
        <w:pStyle w:val="Body"/>
      </w:pPr>
      <w:r w:rsidRPr="00C23573">
        <w:lastRenderedPageBreak/>
        <w:t>The Scheme covers both NDIS and non-NDIS disability workers and protects people with disability, including those who are not NDIS participants. This represents the majority of Victorians with disability who use support services.</w:t>
      </w:r>
    </w:p>
    <w:p w14:paraId="7C01F2BA" w14:textId="77777777" w:rsidR="00C23573" w:rsidRPr="00C23573" w:rsidRDefault="00C23573" w:rsidP="00C23573">
      <w:pPr>
        <w:pStyle w:val="Body"/>
      </w:pPr>
      <w:r w:rsidRPr="00C23573">
        <w:t>In Victoria, many bodies work together to support safe disability services. We work with other agencies and organisations, as well as other workforce regulators including:</w:t>
      </w:r>
    </w:p>
    <w:p w14:paraId="71C9D65C" w14:textId="77777777" w:rsidR="00C23573" w:rsidRPr="00C23573" w:rsidRDefault="00C23573" w:rsidP="00C23573">
      <w:pPr>
        <w:pStyle w:val="Bullet1"/>
      </w:pPr>
      <w:r w:rsidRPr="00C23573">
        <w:t>Australian Health Practitioner Regulation Agency</w:t>
      </w:r>
    </w:p>
    <w:p w14:paraId="67316CF3" w14:textId="77777777" w:rsidR="00C23573" w:rsidRPr="00C23573" w:rsidRDefault="00C23573" w:rsidP="00C23573">
      <w:pPr>
        <w:pStyle w:val="Bullet1"/>
      </w:pPr>
      <w:r w:rsidRPr="00C23573">
        <w:t>Commission for Children and Young People</w:t>
      </w:r>
    </w:p>
    <w:p w14:paraId="6E2D84E9" w14:textId="77777777" w:rsidR="00C23573" w:rsidRPr="00C23573" w:rsidRDefault="00C23573" w:rsidP="00C23573">
      <w:pPr>
        <w:pStyle w:val="Bullet1"/>
      </w:pPr>
      <w:r w:rsidRPr="00C23573">
        <w:t>Commissioner for Seniors</w:t>
      </w:r>
    </w:p>
    <w:p w14:paraId="6350C84B" w14:textId="77777777" w:rsidR="00C23573" w:rsidRPr="00C23573" w:rsidRDefault="00C23573" w:rsidP="00C23573">
      <w:pPr>
        <w:pStyle w:val="Bullet1"/>
      </w:pPr>
      <w:r w:rsidRPr="00C23573">
        <w:t>Disability Services Commissioner</w:t>
      </w:r>
    </w:p>
    <w:p w14:paraId="2D20C395" w14:textId="77777777" w:rsidR="00C23573" w:rsidRPr="00C23573" w:rsidRDefault="00C23573" w:rsidP="00C23573">
      <w:pPr>
        <w:pStyle w:val="Bullet1"/>
      </w:pPr>
      <w:r w:rsidRPr="00C23573">
        <w:t>Health Complaints Commission</w:t>
      </w:r>
    </w:p>
    <w:p w14:paraId="5CFBF8E7" w14:textId="77777777" w:rsidR="00C23573" w:rsidRPr="00C23573" w:rsidRDefault="00C23573" w:rsidP="00C23573">
      <w:pPr>
        <w:pStyle w:val="Bullet1"/>
      </w:pPr>
      <w:r w:rsidRPr="00C23573">
        <w:t>Human Services Regulator (Social Services Regulator)</w:t>
      </w:r>
    </w:p>
    <w:p w14:paraId="4988A496" w14:textId="77777777" w:rsidR="00C23573" w:rsidRPr="00C23573" w:rsidRDefault="00C23573" w:rsidP="00C23573">
      <w:pPr>
        <w:pStyle w:val="Bullet1"/>
      </w:pPr>
      <w:r w:rsidRPr="00C23573">
        <w:t>Mental Health and Wellbeing Commission (Planned 2023)</w:t>
      </w:r>
    </w:p>
    <w:p w14:paraId="1A1EF333" w14:textId="77777777" w:rsidR="00C23573" w:rsidRPr="00C23573" w:rsidRDefault="00C23573" w:rsidP="00C23573">
      <w:pPr>
        <w:pStyle w:val="Bullet1"/>
      </w:pPr>
      <w:r w:rsidRPr="00C23573">
        <w:t>Mental Health Complaints Commissioner</w:t>
      </w:r>
    </w:p>
    <w:p w14:paraId="3064A3CD" w14:textId="77777777" w:rsidR="00C23573" w:rsidRPr="00C23573" w:rsidRDefault="00C23573" w:rsidP="00C23573">
      <w:pPr>
        <w:pStyle w:val="Bullet1"/>
      </w:pPr>
      <w:r w:rsidRPr="00C23573">
        <w:t>NDIS Quality and Safeguards Commission</w:t>
      </w:r>
    </w:p>
    <w:p w14:paraId="1FECB2C3" w14:textId="77777777" w:rsidR="00C23573" w:rsidRPr="00C23573" w:rsidRDefault="00C23573" w:rsidP="00C23573">
      <w:pPr>
        <w:pStyle w:val="Bullet1"/>
      </w:pPr>
      <w:r w:rsidRPr="00C23573">
        <w:t>Office of the Public Advocate</w:t>
      </w:r>
    </w:p>
    <w:p w14:paraId="56929AA9" w14:textId="77777777" w:rsidR="00C23573" w:rsidRPr="00C23573" w:rsidRDefault="00C23573" w:rsidP="00C23573">
      <w:pPr>
        <w:pStyle w:val="Bullet1"/>
      </w:pPr>
      <w:r w:rsidRPr="00C23573">
        <w:t>Professional Bodies</w:t>
      </w:r>
    </w:p>
    <w:p w14:paraId="51442B99" w14:textId="77777777" w:rsidR="00C23573" w:rsidRPr="00C23573" w:rsidRDefault="00C23573" w:rsidP="00C23573">
      <w:pPr>
        <w:pStyle w:val="Bullet1"/>
      </w:pPr>
      <w:r w:rsidRPr="00C23573">
        <w:t>Transport Accident Commission</w:t>
      </w:r>
    </w:p>
    <w:p w14:paraId="3F495D21" w14:textId="77777777" w:rsidR="00C23573" w:rsidRPr="00C23573" w:rsidRDefault="00C23573" w:rsidP="00C23573">
      <w:pPr>
        <w:pStyle w:val="Bullet1"/>
      </w:pPr>
      <w:r w:rsidRPr="00C23573">
        <w:t>Victoria Police</w:t>
      </w:r>
    </w:p>
    <w:p w14:paraId="7C869EF0" w14:textId="77777777" w:rsidR="00C23573" w:rsidRPr="00C23573" w:rsidRDefault="00C23573" w:rsidP="00C23573">
      <w:pPr>
        <w:pStyle w:val="Bullet1"/>
      </w:pPr>
      <w:r w:rsidRPr="00C23573">
        <w:t>Victorian Equal Opportunity and Human Rights Commission</w:t>
      </w:r>
    </w:p>
    <w:p w14:paraId="538C693A" w14:textId="77777777" w:rsidR="00C23573" w:rsidRPr="00C23573" w:rsidRDefault="00C23573" w:rsidP="00C23573">
      <w:pPr>
        <w:pStyle w:val="Bullet1"/>
      </w:pPr>
      <w:r w:rsidRPr="00C23573">
        <w:t>Victorian Institute of Teaching</w:t>
      </w:r>
    </w:p>
    <w:p w14:paraId="4CADC2A4" w14:textId="77777777" w:rsidR="00C23573" w:rsidRPr="00C23573" w:rsidRDefault="00C23573" w:rsidP="00C23573">
      <w:pPr>
        <w:pStyle w:val="Bullet1"/>
      </w:pPr>
      <w:r w:rsidRPr="00C23573">
        <w:t>NDIS Worker Screening Unit and Working with Children Check Victoria (Department of Government Services)</w:t>
      </w:r>
    </w:p>
    <w:p w14:paraId="4110EEFC" w14:textId="77777777" w:rsidR="00C23573" w:rsidRPr="00C23573" w:rsidRDefault="00C23573" w:rsidP="00C23573">
      <w:pPr>
        <w:pStyle w:val="Bullet1"/>
      </w:pPr>
      <w:r w:rsidRPr="00C23573">
        <w:t>WorkSafe Victoria.</w:t>
      </w:r>
    </w:p>
    <w:p w14:paraId="41AD187B" w14:textId="77777777" w:rsidR="00C23573" w:rsidRPr="00C23573" w:rsidRDefault="00C23573" w:rsidP="00C23573">
      <w:pPr>
        <w:pStyle w:val="Bodyafterbullets"/>
      </w:pPr>
      <w:r w:rsidRPr="00C23573">
        <w:t>In Victoria, we also work closely with the Department of Families, Fairness and Housing.</w:t>
      </w:r>
    </w:p>
    <w:p w14:paraId="289105D8" w14:textId="77777777" w:rsidR="00C23573" w:rsidRPr="00C23573" w:rsidRDefault="00C23573" w:rsidP="00C23573">
      <w:pPr>
        <w:pStyle w:val="Body"/>
      </w:pPr>
      <w:r w:rsidRPr="00C23573">
        <w:t>Disability support work is complex. It needs a workforce with the skills and expertise to provide safe, quality supports.</w:t>
      </w:r>
    </w:p>
    <w:p w14:paraId="5E99FD2B" w14:textId="77777777" w:rsidR="00C23573" w:rsidRPr="00C23573" w:rsidRDefault="00C23573" w:rsidP="00C23573">
      <w:pPr>
        <w:pStyle w:val="Body"/>
      </w:pPr>
      <w:r w:rsidRPr="00C23573">
        <w:t>More broadly, there are pressures on the supply of the workforce in the disability sector. Key factors impacting the size of the workforce include:</w:t>
      </w:r>
    </w:p>
    <w:p w14:paraId="54924252" w14:textId="77777777" w:rsidR="00C23573" w:rsidRPr="00C23573" w:rsidRDefault="00C23573" w:rsidP="00C23573">
      <w:pPr>
        <w:pStyle w:val="Bullet1"/>
      </w:pPr>
      <w:r w:rsidRPr="00C23573">
        <w:t>competition for workers with other sectors including aged care and childcare</w:t>
      </w:r>
    </w:p>
    <w:p w14:paraId="0A072C9E" w14:textId="77777777" w:rsidR="00C23573" w:rsidRPr="00C23573" w:rsidRDefault="00C23573" w:rsidP="00C23573">
      <w:pPr>
        <w:pStyle w:val="Bullet1"/>
      </w:pPr>
      <w:r w:rsidRPr="00C23573">
        <w:t>casualisation of the workforce, which is female dominated</w:t>
      </w:r>
    </w:p>
    <w:p w14:paraId="5047614B" w14:textId="77777777" w:rsidR="00C23573" w:rsidRPr="00C23573" w:rsidRDefault="00C23573" w:rsidP="00C23573">
      <w:pPr>
        <w:pStyle w:val="Bullet1"/>
      </w:pPr>
      <w:r w:rsidRPr="00C23573">
        <w:t>relatively low pay rates.</w:t>
      </w:r>
    </w:p>
    <w:p w14:paraId="5D6C676A" w14:textId="77777777" w:rsidR="00C23573" w:rsidRPr="00C23573" w:rsidRDefault="00C23573" w:rsidP="00C23573">
      <w:pPr>
        <w:pStyle w:val="Bodyafterbullets"/>
      </w:pPr>
      <w:r w:rsidRPr="00C23573">
        <w:t>A high turnover rate amongst casual disability workers has also added pressure to the disability workforce. The turnover rate has increased from 18 per cent in December 2020 to 22 per cent in June 2021.</w:t>
      </w:r>
    </w:p>
    <w:p w14:paraId="22C8404D" w14:textId="77777777" w:rsidR="00C23573" w:rsidRPr="00C23573" w:rsidRDefault="00C23573" w:rsidP="00C23573">
      <w:pPr>
        <w:pStyle w:val="Body"/>
      </w:pPr>
      <w:r w:rsidRPr="00C23573">
        <w:t>The past 12 months has also seen the return to pre-COVID work practices that has enabled the Commission to build on opportunities to engage with people with disability and the disability workforce, including by more face-to-face engagement with stakeholders. This is one area that will be prioritised going forward as implementation of the Scheme continues.</w:t>
      </w:r>
    </w:p>
    <w:p w14:paraId="775787EF" w14:textId="77777777" w:rsidR="00C23573" w:rsidRPr="00C23573" w:rsidRDefault="00C23573" w:rsidP="00C23573">
      <w:pPr>
        <w:pStyle w:val="Body"/>
      </w:pPr>
      <w:r w:rsidRPr="00C23573">
        <w:t>The Commission and Board are committed to increasing awareness and understanding of the Scheme. Consultation on all aspects of the Scheme including registration standards is vital to ensure that registered disability workers possess attributes that are important to people accessing disability services.</w:t>
      </w:r>
    </w:p>
    <w:p w14:paraId="4772DC02" w14:textId="0377F1BA" w:rsidR="00C23573" w:rsidRDefault="00C23573" w:rsidP="00C23573">
      <w:pPr>
        <w:pStyle w:val="Body"/>
      </w:pPr>
      <w:r w:rsidRPr="00C23573">
        <w:t>The Commission and Board continue to engage with and listen to the perspectives of people with disability to ensure the Scheme is implemented in a person-centred way.</w:t>
      </w:r>
    </w:p>
    <w:p w14:paraId="1C6F230D" w14:textId="77777777" w:rsidR="00C23573" w:rsidRPr="00717B56" w:rsidRDefault="00C23573" w:rsidP="00717B56">
      <w:pPr>
        <w:pStyle w:val="Heading1"/>
      </w:pPr>
      <w:bookmarkStart w:id="8" w:name="_Toc165463489"/>
      <w:r w:rsidRPr="00717B56">
        <w:lastRenderedPageBreak/>
        <w:t>Our values</w:t>
      </w:r>
      <w:bookmarkEnd w:id="8"/>
    </w:p>
    <w:p w14:paraId="6EA079E5" w14:textId="77777777" w:rsidR="00C23573" w:rsidRDefault="00C23573" w:rsidP="00C23573">
      <w:pPr>
        <w:pStyle w:val="Body"/>
      </w:pPr>
      <w:r>
        <w:t>Our values inform what we do and how we do it.</w:t>
      </w:r>
    </w:p>
    <w:p w14:paraId="1D712DAB" w14:textId="77777777" w:rsidR="00C23573" w:rsidRPr="00717B56" w:rsidRDefault="00C23573" w:rsidP="00717B56">
      <w:pPr>
        <w:pStyle w:val="Heading2"/>
      </w:pPr>
      <w:bookmarkStart w:id="9" w:name="_Toc165463490"/>
      <w:r w:rsidRPr="00717B56">
        <w:t>Diversity and inclusion</w:t>
      </w:r>
      <w:bookmarkEnd w:id="9"/>
    </w:p>
    <w:p w14:paraId="19F1CD1E" w14:textId="77777777" w:rsidR="00C23573" w:rsidRPr="00C23573" w:rsidRDefault="00C23573" w:rsidP="00C23573">
      <w:pPr>
        <w:pStyle w:val="Bullet1"/>
      </w:pPr>
      <w:r w:rsidRPr="00C23573">
        <w:t>We have inclusive recruitment and employment practices that foster diversity in our workforce</w:t>
      </w:r>
    </w:p>
    <w:p w14:paraId="6C56C320" w14:textId="77777777" w:rsidR="00C23573" w:rsidRPr="00C23573" w:rsidRDefault="00C23573" w:rsidP="00C23573">
      <w:pPr>
        <w:pStyle w:val="Bullet1"/>
      </w:pPr>
      <w:r w:rsidRPr="00C23573">
        <w:t xml:space="preserve">We ensure that diverse communities see themselves reflected in who we are and </w:t>
      </w:r>
      <w:r w:rsidRPr="00C23573">
        <w:br/>
        <w:t>what we do</w:t>
      </w:r>
    </w:p>
    <w:p w14:paraId="57888A8D" w14:textId="77777777" w:rsidR="00C23573" w:rsidRPr="00C23573" w:rsidRDefault="00C23573" w:rsidP="00C23573">
      <w:pPr>
        <w:pStyle w:val="Bullet1"/>
      </w:pPr>
      <w:r w:rsidRPr="00C23573">
        <w:t>We are committed to being an accessible workplace and an accessible regulator for our diverse stakeholders</w:t>
      </w:r>
    </w:p>
    <w:p w14:paraId="2C381AAA" w14:textId="77777777" w:rsidR="00C23573" w:rsidRPr="00717B56" w:rsidRDefault="00C23573" w:rsidP="00717B56">
      <w:pPr>
        <w:pStyle w:val="Heading2"/>
      </w:pPr>
      <w:bookmarkStart w:id="10" w:name="_Toc165463491"/>
      <w:r w:rsidRPr="00717B56">
        <w:t>Independent and fair</w:t>
      </w:r>
      <w:bookmarkEnd w:id="10"/>
    </w:p>
    <w:p w14:paraId="7F63C49F" w14:textId="77777777" w:rsidR="00C23573" w:rsidRPr="00C23573" w:rsidRDefault="00C23573" w:rsidP="00C23573">
      <w:pPr>
        <w:pStyle w:val="Bullet1"/>
      </w:pPr>
      <w:r w:rsidRPr="00C23573">
        <w:t>We treat everyone with respect, listening to all parties involved</w:t>
      </w:r>
    </w:p>
    <w:p w14:paraId="317AF1F0" w14:textId="77777777" w:rsidR="00C23573" w:rsidRPr="00C23573" w:rsidRDefault="00C23573" w:rsidP="00C23573">
      <w:pPr>
        <w:pStyle w:val="Bullet1"/>
      </w:pPr>
      <w:r w:rsidRPr="00C23573">
        <w:t>We do what we say we will do and we take proportionate action</w:t>
      </w:r>
    </w:p>
    <w:p w14:paraId="23BD6CD3" w14:textId="0E088FA5" w:rsidR="00C23573" w:rsidRPr="00C23573" w:rsidRDefault="00C23573" w:rsidP="00C23573">
      <w:pPr>
        <w:pStyle w:val="Bullet1"/>
      </w:pPr>
      <w:r w:rsidRPr="00C23573">
        <w:t>The community sees our processes and the decisions we make as independent and</w:t>
      </w:r>
      <w:r>
        <w:t xml:space="preserve"> </w:t>
      </w:r>
      <w:r w:rsidRPr="00C23573">
        <w:t>transparent</w:t>
      </w:r>
    </w:p>
    <w:p w14:paraId="3504A9B4" w14:textId="77777777" w:rsidR="00C23573" w:rsidRPr="00717B56" w:rsidRDefault="00C23573" w:rsidP="00717B56">
      <w:pPr>
        <w:pStyle w:val="Heading2"/>
      </w:pPr>
      <w:bookmarkStart w:id="11" w:name="_Toc165463492"/>
      <w:r w:rsidRPr="00717B56">
        <w:t>Fearless and accountable</w:t>
      </w:r>
      <w:bookmarkEnd w:id="11"/>
    </w:p>
    <w:p w14:paraId="0EEF2A12" w14:textId="77777777" w:rsidR="00C23573" w:rsidRPr="00C23573" w:rsidRDefault="00C23573" w:rsidP="00C23573">
      <w:pPr>
        <w:pStyle w:val="Bullet1"/>
      </w:pPr>
      <w:r w:rsidRPr="00C23573">
        <w:t>We use our powers to hold others accountable for their actions</w:t>
      </w:r>
    </w:p>
    <w:p w14:paraId="082DB98D" w14:textId="77777777" w:rsidR="00C23573" w:rsidRPr="00C23573" w:rsidRDefault="00C23573" w:rsidP="00C23573">
      <w:pPr>
        <w:pStyle w:val="Bullet1"/>
      </w:pPr>
      <w:r w:rsidRPr="00C23573">
        <w:t>We are responsible for our actions and are open to scrutiny and feedback</w:t>
      </w:r>
    </w:p>
    <w:p w14:paraId="5D3414DC" w14:textId="77777777" w:rsidR="00C23573" w:rsidRPr="00C23573" w:rsidRDefault="00C23573" w:rsidP="00C23573">
      <w:pPr>
        <w:pStyle w:val="Bullet1"/>
      </w:pPr>
      <w:r w:rsidRPr="00C23573">
        <w:t>We continually evaluate and improve our operations</w:t>
      </w:r>
    </w:p>
    <w:p w14:paraId="3211366E" w14:textId="77777777" w:rsidR="00C23573" w:rsidRPr="00717B56" w:rsidRDefault="00C23573" w:rsidP="00717B56">
      <w:pPr>
        <w:pStyle w:val="Heading2"/>
      </w:pPr>
      <w:bookmarkStart w:id="12" w:name="_Toc165463493"/>
      <w:r w:rsidRPr="00717B56">
        <w:t>Trust and respect</w:t>
      </w:r>
      <w:bookmarkEnd w:id="12"/>
    </w:p>
    <w:p w14:paraId="5961F320" w14:textId="2907A77B" w:rsidR="00C23573" w:rsidRPr="00C23573" w:rsidRDefault="00C23573" w:rsidP="00C23573">
      <w:pPr>
        <w:pStyle w:val="Bullet1"/>
      </w:pPr>
      <w:r w:rsidRPr="00C23573">
        <w:t>We are respectful and professional in our interactions with our colleagues and the community</w:t>
      </w:r>
    </w:p>
    <w:p w14:paraId="1DB8F250" w14:textId="77777777" w:rsidR="00C23573" w:rsidRPr="00C23573" w:rsidRDefault="00C23573" w:rsidP="00C23573">
      <w:pPr>
        <w:pStyle w:val="Bullet1"/>
      </w:pPr>
      <w:r w:rsidRPr="00C23573">
        <w:t>We foster trust by assessing matters impartially</w:t>
      </w:r>
    </w:p>
    <w:p w14:paraId="0BD754C8" w14:textId="760A0EBD" w:rsidR="00C23573" w:rsidRPr="00C23573" w:rsidRDefault="00C23573" w:rsidP="00C23573">
      <w:pPr>
        <w:pStyle w:val="Bullet1"/>
      </w:pPr>
      <w:r w:rsidRPr="00C23573">
        <w:t>We have confidence in, and are respectful of, each other’s skills and capabilities</w:t>
      </w:r>
    </w:p>
    <w:p w14:paraId="5EDC41BD" w14:textId="77777777" w:rsidR="00C23573" w:rsidRPr="00717B56" w:rsidRDefault="00C23573" w:rsidP="00717B56">
      <w:pPr>
        <w:pStyle w:val="Heading2"/>
      </w:pPr>
      <w:bookmarkStart w:id="13" w:name="_Toc165463494"/>
      <w:r w:rsidRPr="00717B56">
        <w:t>Empathy and dignity</w:t>
      </w:r>
      <w:bookmarkEnd w:id="13"/>
    </w:p>
    <w:p w14:paraId="42D2DBA2" w14:textId="77777777" w:rsidR="00C23573" w:rsidRPr="00C23573" w:rsidRDefault="00C23573" w:rsidP="00C23573">
      <w:pPr>
        <w:pStyle w:val="Bullet1"/>
      </w:pPr>
      <w:r w:rsidRPr="00C23573">
        <w:t>We take a person-centred approach with everything we do</w:t>
      </w:r>
    </w:p>
    <w:p w14:paraId="2E40A5E0" w14:textId="7AE47273" w:rsidR="00C23573" w:rsidRPr="00C23573" w:rsidRDefault="00C23573" w:rsidP="00C23573">
      <w:pPr>
        <w:pStyle w:val="Bullet1"/>
      </w:pPr>
      <w:r w:rsidRPr="00C23573">
        <w:t>We ask people what they need from us and how we can work with them</w:t>
      </w:r>
    </w:p>
    <w:p w14:paraId="045AFC2C" w14:textId="26B3ACCB" w:rsidR="00C23573" w:rsidRPr="00C23573" w:rsidRDefault="00C23573" w:rsidP="00C23573">
      <w:pPr>
        <w:pStyle w:val="Bullet1"/>
      </w:pPr>
      <w:r w:rsidRPr="00C23573">
        <w:t>We are responsive and flexible to support the diverse communities and individuals we serve</w:t>
      </w:r>
    </w:p>
    <w:p w14:paraId="3188E77F" w14:textId="77777777" w:rsidR="00C23573" w:rsidRPr="00C23573" w:rsidRDefault="00C23573" w:rsidP="00717B56">
      <w:pPr>
        <w:pStyle w:val="Heading1"/>
      </w:pPr>
      <w:bookmarkStart w:id="14" w:name="_Toc165463495"/>
      <w:r w:rsidRPr="00C23573">
        <w:t>Our Scheme strategic plan 2022–24</w:t>
      </w:r>
      <w:bookmarkEnd w:id="14"/>
    </w:p>
    <w:p w14:paraId="6C25CB5C" w14:textId="77777777" w:rsidR="00C23573" w:rsidRPr="00C23573" w:rsidRDefault="00C23573" w:rsidP="00717B56">
      <w:pPr>
        <w:pStyle w:val="Heading2"/>
      </w:pPr>
      <w:bookmarkStart w:id="15" w:name="_Toc165463496"/>
      <w:r w:rsidRPr="00C23573">
        <w:t>About the Corporate Plan 2022–24</w:t>
      </w:r>
      <w:bookmarkEnd w:id="15"/>
    </w:p>
    <w:p w14:paraId="00F76945" w14:textId="77777777" w:rsidR="00C23573" w:rsidRPr="00C23573" w:rsidRDefault="00C23573" w:rsidP="00C23573">
      <w:pPr>
        <w:pStyle w:val="Body"/>
      </w:pPr>
      <w:r w:rsidRPr="00C23573">
        <w:t>This two-year corporate plan is designed to be updated once, at the end of the 2022–23 financial year, with all the relevant information for the 2023–24 financial year. A new three-year strategic plan will be launched in 2024 to replace this corporate plan.</w:t>
      </w:r>
    </w:p>
    <w:p w14:paraId="2E8E3A09" w14:textId="77777777" w:rsidR="00C23573" w:rsidRPr="00DC5C65" w:rsidRDefault="00C23573" w:rsidP="00DC5C65">
      <w:pPr>
        <w:pStyle w:val="Heading2"/>
      </w:pPr>
      <w:bookmarkStart w:id="16" w:name="_Toc165463497"/>
      <w:r w:rsidRPr="00DC5C65">
        <w:lastRenderedPageBreak/>
        <w:t>Our maturity model</w:t>
      </w:r>
      <w:bookmarkEnd w:id="16"/>
    </w:p>
    <w:p w14:paraId="21552711" w14:textId="77777777" w:rsidR="00C23573" w:rsidRPr="00C23573" w:rsidRDefault="00C23573" w:rsidP="00C23573">
      <w:pPr>
        <w:pStyle w:val="Body"/>
        <w:rPr>
          <w:rStyle w:val="BodyBold"/>
          <w:rFonts w:ascii="Arial" w:hAnsi="Arial" w:cs="Times New Roman"/>
          <w:b w:val="0"/>
          <w:bCs w:val="0"/>
        </w:rPr>
      </w:pPr>
      <w:r w:rsidRPr="00C23573">
        <w:t>As a new organisation we have to be conscious that our journey recently began, and that maturation requires time and effort. With this in mind we have designed an ambitious four-phase model to ensure that by 2024 we can operate at the same level of any established organisation.</w:t>
      </w:r>
    </w:p>
    <w:p w14:paraId="5AC87434" w14:textId="55E01694" w:rsidR="00C23573" w:rsidRPr="00DC5C65" w:rsidRDefault="00DC5C65" w:rsidP="00DC5C65">
      <w:pPr>
        <w:pStyle w:val="Heading3"/>
        <w:rPr>
          <w:rStyle w:val="BodyBold"/>
          <w:rFonts w:ascii="Arial" w:hAnsi="Arial" w:cs="Times New Roman"/>
          <w:b/>
          <w:bCs/>
        </w:rPr>
      </w:pPr>
      <w:r w:rsidRPr="00DC5C65">
        <w:rPr>
          <w:rStyle w:val="BodyBold"/>
          <w:rFonts w:ascii="Arial" w:hAnsi="Arial" w:cs="Times New Roman"/>
          <w:b/>
          <w:bCs/>
        </w:rPr>
        <w:t>2020–22</w:t>
      </w:r>
      <w:r>
        <w:rPr>
          <w:rStyle w:val="BodyBold"/>
          <w:rFonts w:ascii="Arial" w:hAnsi="Arial" w:cs="Times New Roman"/>
          <w:b/>
          <w:bCs/>
        </w:rPr>
        <w:t xml:space="preserve"> </w:t>
      </w:r>
      <w:r w:rsidR="00C23573" w:rsidRPr="00DC5C65">
        <w:rPr>
          <w:rStyle w:val="BodyBold"/>
          <w:rFonts w:ascii="Arial" w:hAnsi="Arial" w:cs="Times New Roman"/>
          <w:b/>
          <w:bCs/>
        </w:rPr>
        <w:t>Phase 1: Found</w:t>
      </w:r>
      <w:r w:rsidR="00C23573" w:rsidRPr="00DC5C65">
        <w:t>at</w:t>
      </w:r>
      <w:r w:rsidR="00C23573" w:rsidRPr="00DC5C65">
        <w:rPr>
          <w:rStyle w:val="BodyBold"/>
          <w:rFonts w:ascii="Arial" w:hAnsi="Arial" w:cs="Times New Roman"/>
          <w:b/>
          <w:bCs/>
        </w:rPr>
        <w:t xml:space="preserve">ional </w:t>
      </w:r>
    </w:p>
    <w:p w14:paraId="571ED9DA" w14:textId="62D163D3" w:rsidR="00C23573" w:rsidRPr="00C23573" w:rsidRDefault="00C23573" w:rsidP="00C23573">
      <w:pPr>
        <w:pStyle w:val="Body"/>
        <w:rPr>
          <w:rStyle w:val="BodyBold"/>
          <w:rFonts w:ascii="Arial" w:hAnsi="Arial" w:cs="Times New Roman"/>
          <w:b w:val="0"/>
          <w:bCs w:val="0"/>
        </w:rPr>
      </w:pPr>
      <w:r w:rsidRPr="00C23573">
        <w:t>The focus of this first phase is to prepare and develop foundational pieces that allow for initial operation.</w:t>
      </w:r>
    </w:p>
    <w:p w14:paraId="55985204" w14:textId="3A14716D" w:rsidR="00C23573" w:rsidRPr="00DC5C65" w:rsidRDefault="00DC5C65" w:rsidP="00DC5C65">
      <w:pPr>
        <w:pStyle w:val="Heading3"/>
      </w:pPr>
      <w:r w:rsidRPr="00DC5C65">
        <w:rPr>
          <w:rStyle w:val="BodyBold"/>
          <w:rFonts w:ascii="Arial" w:hAnsi="Arial" w:cs="Times New Roman"/>
          <w:b/>
          <w:bCs/>
        </w:rPr>
        <w:t>2022–23</w:t>
      </w:r>
      <w:r>
        <w:rPr>
          <w:rStyle w:val="BodyBold"/>
          <w:rFonts w:ascii="Arial" w:hAnsi="Arial" w:cs="Times New Roman"/>
          <w:b/>
          <w:bCs/>
        </w:rPr>
        <w:t xml:space="preserve"> </w:t>
      </w:r>
      <w:r w:rsidR="00C23573" w:rsidRPr="00DC5C65">
        <w:rPr>
          <w:rStyle w:val="BodyBold"/>
          <w:rFonts w:ascii="Arial" w:hAnsi="Arial" w:cs="Times New Roman"/>
          <w:b/>
          <w:bCs/>
        </w:rPr>
        <w:t xml:space="preserve">Phase 2: Establishment </w:t>
      </w:r>
    </w:p>
    <w:p w14:paraId="4F8F4AC7" w14:textId="7945F71F" w:rsidR="00C23573" w:rsidRPr="00C23573" w:rsidRDefault="00C23573" w:rsidP="00C23573">
      <w:pPr>
        <w:pStyle w:val="Body"/>
        <w:rPr>
          <w:rStyle w:val="BodyBold"/>
          <w:rFonts w:ascii="Arial" w:hAnsi="Arial" w:cs="Times New Roman"/>
          <w:b w:val="0"/>
          <w:bCs w:val="0"/>
        </w:rPr>
      </w:pPr>
      <w:r w:rsidRPr="00C23573">
        <w:t>At this phase, the focus is to engage with our external stakeholders to collect evidence to improve our operations.</w:t>
      </w:r>
    </w:p>
    <w:p w14:paraId="4734A0A4" w14:textId="22CC8194" w:rsidR="00C23573" w:rsidRPr="00C23573" w:rsidRDefault="00DC5C65" w:rsidP="00DC5C65">
      <w:pPr>
        <w:pStyle w:val="Heading3"/>
        <w:rPr>
          <w:rStyle w:val="BodyBold"/>
          <w:rFonts w:ascii="Arial" w:hAnsi="Arial" w:cs="Times New Roman"/>
          <w:b/>
          <w:bCs/>
        </w:rPr>
      </w:pPr>
      <w:r w:rsidRPr="00DC5C65">
        <w:rPr>
          <w:rStyle w:val="BodyBold"/>
          <w:rFonts w:ascii="Arial" w:hAnsi="Arial" w:cs="Times New Roman"/>
          <w:b/>
          <w:bCs/>
        </w:rPr>
        <w:t>2023–24</w:t>
      </w:r>
      <w:r>
        <w:rPr>
          <w:rStyle w:val="BodyBold"/>
          <w:rFonts w:ascii="Arial" w:hAnsi="Arial" w:cs="Times New Roman"/>
          <w:b/>
          <w:bCs/>
        </w:rPr>
        <w:t xml:space="preserve"> </w:t>
      </w:r>
      <w:r w:rsidR="00C23573" w:rsidRPr="00C23573">
        <w:rPr>
          <w:rStyle w:val="BodyBold"/>
          <w:rFonts w:ascii="Arial" w:hAnsi="Arial" w:cs="Times New Roman"/>
          <w:b/>
          <w:bCs/>
        </w:rPr>
        <w:t xml:space="preserve">Phase 3: Consolidation </w:t>
      </w:r>
    </w:p>
    <w:p w14:paraId="49038014" w14:textId="65A450DF" w:rsidR="00C23573" w:rsidRPr="00C23573" w:rsidRDefault="00C23573" w:rsidP="00C23573">
      <w:pPr>
        <w:pStyle w:val="Body"/>
        <w:rPr>
          <w:rStyle w:val="BodyBold"/>
          <w:rFonts w:ascii="Arial" w:hAnsi="Arial" w:cs="Times New Roman"/>
          <w:b w:val="0"/>
          <w:bCs w:val="0"/>
        </w:rPr>
      </w:pPr>
      <w:r w:rsidRPr="00C23573">
        <w:t>The focus of this phase is to consolidate our way of operating and assess how far we have come in implementing the Scheme.</w:t>
      </w:r>
    </w:p>
    <w:p w14:paraId="26556A91" w14:textId="5D9A78D6" w:rsidR="00C23573" w:rsidRPr="00DC5C65" w:rsidRDefault="00DC5C65" w:rsidP="00DC5C65">
      <w:pPr>
        <w:pStyle w:val="Heading3"/>
        <w:rPr>
          <w:rStyle w:val="BodyBold"/>
          <w:rFonts w:ascii="Arial" w:hAnsi="Arial" w:cs="Times New Roman"/>
          <w:b/>
          <w:bCs/>
        </w:rPr>
      </w:pPr>
      <w:r w:rsidRPr="00DC5C65">
        <w:rPr>
          <w:rStyle w:val="BodyBold"/>
          <w:rFonts w:ascii="Arial" w:hAnsi="Arial" w:cs="Times New Roman"/>
          <w:b/>
          <w:bCs/>
        </w:rPr>
        <w:t>2024–onwards</w:t>
      </w:r>
      <w:r>
        <w:rPr>
          <w:rStyle w:val="BodyBold"/>
          <w:rFonts w:ascii="Arial" w:hAnsi="Arial" w:cs="Times New Roman"/>
          <w:b/>
          <w:bCs/>
        </w:rPr>
        <w:t xml:space="preserve"> </w:t>
      </w:r>
      <w:r w:rsidR="00C23573" w:rsidRPr="00DC5C65">
        <w:rPr>
          <w:rStyle w:val="BodyBold"/>
          <w:rFonts w:ascii="Arial" w:hAnsi="Arial" w:cs="Times New Roman"/>
          <w:b/>
          <w:bCs/>
        </w:rPr>
        <w:t xml:space="preserve">Phase 4: Continuous improvement </w:t>
      </w:r>
    </w:p>
    <w:p w14:paraId="35E5F459" w14:textId="666E1FF3" w:rsidR="00C23573" w:rsidRPr="00C23573" w:rsidRDefault="00C23573" w:rsidP="00C23573">
      <w:pPr>
        <w:pStyle w:val="Body"/>
      </w:pPr>
      <w:r w:rsidRPr="00C23573">
        <w:t>At this phase, our operating model has been consolidated and ongoing changes are made</w:t>
      </w:r>
      <w:r>
        <w:t xml:space="preserve"> </w:t>
      </w:r>
      <w:r w:rsidRPr="00C23573">
        <w:t>based on key performance indicators.</w:t>
      </w:r>
    </w:p>
    <w:p w14:paraId="51DBD299" w14:textId="77777777" w:rsidR="00C23573" w:rsidRPr="00DC5C65" w:rsidRDefault="00C23573" w:rsidP="00DC5C65">
      <w:pPr>
        <w:pStyle w:val="Heading3"/>
      </w:pPr>
      <w:r w:rsidRPr="00DC5C65">
        <w:t>Scheme strategic plan 2022–24</w:t>
      </w:r>
    </w:p>
    <w:p w14:paraId="041FEFB9" w14:textId="73E1977A" w:rsidR="00C23573" w:rsidRPr="00C23573" w:rsidRDefault="00C23573" w:rsidP="00C23573">
      <w:pPr>
        <w:pStyle w:val="Body"/>
        <w:rPr>
          <w:rStyle w:val="Strong"/>
          <w:b w:val="0"/>
          <w:bCs w:val="0"/>
        </w:rPr>
      </w:pPr>
      <w:r w:rsidRPr="00C23573">
        <w:t>The plan has five pillars in total, the first four representing where the Scheme needs to concentrate its efforts to support people with disability, and a fifth pillar describing the crucial support required to enable the functions and delivery of pillars 1–4 acknowledging the relationships between the Commissioner, the Board and the Commission.</w:t>
      </w:r>
    </w:p>
    <w:p w14:paraId="2C3291EE" w14:textId="77777777" w:rsidR="008717A5" w:rsidRDefault="008717A5" w:rsidP="00DC5C65">
      <w:pPr>
        <w:pStyle w:val="Figurecaption"/>
        <w:sectPr w:rsidR="008717A5" w:rsidSect="00754804">
          <w:pgSz w:w="11906" w:h="16838"/>
          <w:pgMar w:top="1701" w:right="1304" w:bottom="1247" w:left="1304" w:header="454" w:footer="454" w:gutter="0"/>
          <w:cols w:space="720"/>
          <w:noEndnote/>
          <w:docGrid w:linePitch="272"/>
        </w:sectPr>
      </w:pPr>
    </w:p>
    <w:p w14:paraId="6F6EF019" w14:textId="7FFB7AD9" w:rsidR="00810F09" w:rsidRPr="00452009" w:rsidRDefault="00C23573" w:rsidP="00810F09">
      <w:pPr>
        <w:pStyle w:val="Figurecaption"/>
      </w:pPr>
      <w:r w:rsidRPr="00DC5C65">
        <w:lastRenderedPageBreak/>
        <w:t>Figure 3: Strategic Plan 2022–24 on a page</w:t>
      </w:r>
    </w:p>
    <w:tbl>
      <w:tblPr>
        <w:tblStyle w:val="TableGrid1"/>
        <w:tblW w:w="15163" w:type="dxa"/>
        <w:tblLayout w:type="fixed"/>
        <w:tblLook w:val="06A0" w:firstRow="1" w:lastRow="0" w:firstColumn="1" w:lastColumn="0" w:noHBand="1" w:noVBand="1"/>
      </w:tblPr>
      <w:tblGrid>
        <w:gridCol w:w="1134"/>
        <w:gridCol w:w="2353"/>
        <w:gridCol w:w="2552"/>
        <w:gridCol w:w="2353"/>
        <w:gridCol w:w="2353"/>
        <w:gridCol w:w="4418"/>
      </w:tblGrid>
      <w:tr w:rsidR="00810F09" w:rsidRPr="00B23CF8" w14:paraId="5DB8648B" w14:textId="77777777" w:rsidTr="008F0858">
        <w:tc>
          <w:tcPr>
            <w:tcW w:w="15163" w:type="dxa"/>
            <w:gridSpan w:val="6"/>
          </w:tcPr>
          <w:p w14:paraId="0DFDD3F0" w14:textId="77777777" w:rsidR="00810F09" w:rsidRPr="00B23CF8" w:rsidRDefault="00810F09" w:rsidP="008F0858">
            <w:pPr>
              <w:pStyle w:val="VDWCtablecolhead"/>
              <w:rPr>
                <w:lang w:val="en-US" w:eastAsia="en-AU"/>
              </w:rPr>
            </w:pPr>
            <w:r w:rsidRPr="00B23CF8">
              <w:rPr>
                <w:lang w:val="en-US" w:eastAsia="en-AU"/>
              </w:rPr>
              <w:t xml:space="preserve">The Victorian Disability Worker Regulation </w:t>
            </w:r>
            <w:r w:rsidRPr="00B23CF8">
              <w:t>Scheme</w:t>
            </w:r>
            <w:r>
              <w:t xml:space="preserve"> </w:t>
            </w:r>
            <w:r w:rsidRPr="00B23CF8">
              <w:t>Strategic</w:t>
            </w:r>
            <w:r w:rsidRPr="00B23CF8">
              <w:rPr>
                <w:lang w:val="en-US" w:eastAsia="en-AU"/>
              </w:rPr>
              <w:t xml:space="preserve"> Plan 2022/23–2023/24</w:t>
            </w:r>
          </w:p>
        </w:tc>
      </w:tr>
      <w:tr w:rsidR="00810F09" w:rsidRPr="00B23CF8" w14:paraId="30D09705" w14:textId="77777777" w:rsidTr="008F0858">
        <w:tc>
          <w:tcPr>
            <w:tcW w:w="1134" w:type="dxa"/>
          </w:tcPr>
          <w:p w14:paraId="05F617D8" w14:textId="77777777" w:rsidR="00810F09" w:rsidRPr="0028671B" w:rsidRDefault="00810F09" w:rsidP="008F0858">
            <w:pPr>
              <w:pStyle w:val="VDWCtablecolhead"/>
              <w:rPr>
                <w:sz w:val="18"/>
                <w:szCs w:val="20"/>
              </w:rPr>
            </w:pPr>
            <w:r w:rsidRPr="0028671B">
              <w:rPr>
                <w:sz w:val="18"/>
                <w:szCs w:val="20"/>
              </w:rPr>
              <w:t>Vision</w:t>
            </w:r>
          </w:p>
        </w:tc>
        <w:tc>
          <w:tcPr>
            <w:tcW w:w="14029" w:type="dxa"/>
            <w:gridSpan w:val="5"/>
          </w:tcPr>
          <w:p w14:paraId="4CFD69CC" w14:textId="77777777" w:rsidR="00810F09" w:rsidRPr="0028671B" w:rsidRDefault="00810F09" w:rsidP="008F0858">
            <w:pPr>
              <w:pStyle w:val="VDWCtabletext"/>
              <w:rPr>
                <w:b/>
                <w:bCs/>
                <w:sz w:val="18"/>
                <w:szCs w:val="20"/>
              </w:rPr>
            </w:pPr>
            <w:r w:rsidRPr="0028671B">
              <w:rPr>
                <w:b/>
                <w:bCs/>
                <w:sz w:val="18"/>
                <w:szCs w:val="20"/>
              </w:rPr>
              <w:t>People with disability can choose services that best meet their needs and supports their quality of life, free from abuse and neglect</w:t>
            </w:r>
          </w:p>
        </w:tc>
      </w:tr>
      <w:tr w:rsidR="00810F09" w:rsidRPr="00B23CF8" w14:paraId="22EC48C6" w14:textId="77777777" w:rsidTr="008F0858">
        <w:tc>
          <w:tcPr>
            <w:tcW w:w="1134" w:type="dxa"/>
          </w:tcPr>
          <w:p w14:paraId="4D3E6179" w14:textId="77777777" w:rsidR="00810F09" w:rsidRPr="0028671B" w:rsidRDefault="00810F09" w:rsidP="008F0858">
            <w:pPr>
              <w:pStyle w:val="VDWCtablecolhead"/>
              <w:rPr>
                <w:sz w:val="18"/>
                <w:szCs w:val="20"/>
              </w:rPr>
            </w:pPr>
            <w:r w:rsidRPr="0028671B">
              <w:rPr>
                <w:sz w:val="18"/>
                <w:szCs w:val="20"/>
              </w:rPr>
              <w:t>Purpose</w:t>
            </w:r>
          </w:p>
        </w:tc>
        <w:tc>
          <w:tcPr>
            <w:tcW w:w="14029" w:type="dxa"/>
            <w:gridSpan w:val="5"/>
          </w:tcPr>
          <w:p w14:paraId="6D2E43CF" w14:textId="77777777" w:rsidR="00810F09" w:rsidRPr="0028671B" w:rsidRDefault="00810F09" w:rsidP="008F0858">
            <w:pPr>
              <w:pStyle w:val="VDWCtabletext"/>
              <w:rPr>
                <w:sz w:val="18"/>
                <w:szCs w:val="20"/>
              </w:rPr>
            </w:pPr>
            <w:r w:rsidRPr="0028671B">
              <w:rPr>
                <w:sz w:val="18"/>
                <w:szCs w:val="20"/>
              </w:rPr>
              <w:t>We regulate all workers providing disability services in Victoria, regardless of how they are funded,</w:t>
            </w:r>
            <w:r>
              <w:rPr>
                <w:sz w:val="18"/>
                <w:szCs w:val="20"/>
              </w:rPr>
              <w:t xml:space="preserve"> </w:t>
            </w:r>
            <w:r w:rsidRPr="0028671B">
              <w:rPr>
                <w:sz w:val="18"/>
                <w:szCs w:val="20"/>
              </w:rPr>
              <w:t>setting standards for registration and training, resolving complaints and prohibiting unsafe workers</w:t>
            </w:r>
          </w:p>
        </w:tc>
      </w:tr>
      <w:tr w:rsidR="00810F09" w:rsidRPr="00B23CF8" w14:paraId="380CD661" w14:textId="77777777" w:rsidTr="008F0858">
        <w:tc>
          <w:tcPr>
            <w:tcW w:w="1134" w:type="dxa"/>
          </w:tcPr>
          <w:p w14:paraId="5DB08F0C" w14:textId="77777777" w:rsidR="00810F09" w:rsidRPr="0028671B" w:rsidRDefault="00810F09" w:rsidP="008F0858">
            <w:pPr>
              <w:pStyle w:val="VDWCtablecolhead"/>
              <w:rPr>
                <w:sz w:val="18"/>
                <w:szCs w:val="20"/>
              </w:rPr>
            </w:pPr>
            <w:r w:rsidRPr="0028671B">
              <w:rPr>
                <w:sz w:val="18"/>
                <w:szCs w:val="20"/>
              </w:rPr>
              <w:t>Guiding Principle</w:t>
            </w:r>
          </w:p>
        </w:tc>
        <w:tc>
          <w:tcPr>
            <w:tcW w:w="14029" w:type="dxa"/>
            <w:gridSpan w:val="5"/>
          </w:tcPr>
          <w:p w14:paraId="596CA543" w14:textId="77777777" w:rsidR="00810F09" w:rsidRPr="0028671B" w:rsidRDefault="00810F09" w:rsidP="008F0858">
            <w:pPr>
              <w:pStyle w:val="VDWCtabletext"/>
              <w:rPr>
                <w:sz w:val="18"/>
                <w:szCs w:val="20"/>
              </w:rPr>
            </w:pPr>
            <w:r w:rsidRPr="0028671B">
              <w:rPr>
                <w:sz w:val="18"/>
                <w:szCs w:val="20"/>
              </w:rPr>
              <w:t>People with disability who use disability services have the same rights as other members of the community</w:t>
            </w:r>
          </w:p>
        </w:tc>
      </w:tr>
      <w:tr w:rsidR="00810F09" w:rsidRPr="0028671B" w14:paraId="0EC1AAF4" w14:textId="77777777" w:rsidTr="008F0858">
        <w:tc>
          <w:tcPr>
            <w:tcW w:w="1134" w:type="dxa"/>
          </w:tcPr>
          <w:p w14:paraId="5F891550" w14:textId="77777777" w:rsidR="00810F09" w:rsidRPr="0028671B" w:rsidRDefault="00810F09" w:rsidP="008F0858">
            <w:pPr>
              <w:pStyle w:val="VDWCtablecolhead"/>
              <w:rPr>
                <w:sz w:val="18"/>
                <w:szCs w:val="20"/>
              </w:rPr>
            </w:pPr>
            <w:r w:rsidRPr="0028671B">
              <w:rPr>
                <w:sz w:val="18"/>
                <w:szCs w:val="20"/>
              </w:rPr>
              <w:t>Pillars</w:t>
            </w:r>
          </w:p>
        </w:tc>
        <w:tc>
          <w:tcPr>
            <w:tcW w:w="2353" w:type="dxa"/>
          </w:tcPr>
          <w:p w14:paraId="2903823E" w14:textId="77777777" w:rsidR="00810F09" w:rsidRPr="0028671B" w:rsidRDefault="00810F09" w:rsidP="008F0858">
            <w:pPr>
              <w:pStyle w:val="VDWCtabletext"/>
              <w:rPr>
                <w:sz w:val="18"/>
                <w:szCs w:val="20"/>
              </w:rPr>
            </w:pPr>
            <w:r w:rsidRPr="0028671B">
              <w:rPr>
                <w:sz w:val="18"/>
                <w:szCs w:val="20"/>
              </w:rPr>
              <w:t>I. Safety and</w:t>
            </w:r>
            <w:r w:rsidRPr="0028671B">
              <w:rPr>
                <w:sz w:val="18"/>
                <w:szCs w:val="20"/>
              </w:rPr>
              <w:br/>
              <w:t>compliance</w:t>
            </w:r>
          </w:p>
        </w:tc>
        <w:tc>
          <w:tcPr>
            <w:tcW w:w="2552" w:type="dxa"/>
          </w:tcPr>
          <w:p w14:paraId="06A858BF" w14:textId="77777777" w:rsidR="00810F09" w:rsidRPr="0028671B" w:rsidRDefault="00810F09" w:rsidP="008F0858">
            <w:pPr>
              <w:pStyle w:val="VDWCtabletext"/>
              <w:rPr>
                <w:sz w:val="18"/>
                <w:szCs w:val="20"/>
              </w:rPr>
            </w:pPr>
            <w:r w:rsidRPr="0028671B">
              <w:rPr>
                <w:sz w:val="18"/>
                <w:szCs w:val="20"/>
              </w:rPr>
              <w:t>2. Registration</w:t>
            </w:r>
          </w:p>
        </w:tc>
        <w:tc>
          <w:tcPr>
            <w:tcW w:w="2353" w:type="dxa"/>
          </w:tcPr>
          <w:p w14:paraId="03615129" w14:textId="77777777" w:rsidR="00810F09" w:rsidRPr="0028671B" w:rsidRDefault="00810F09" w:rsidP="008F0858">
            <w:pPr>
              <w:pStyle w:val="VDWCtabletext"/>
              <w:rPr>
                <w:sz w:val="18"/>
                <w:szCs w:val="20"/>
              </w:rPr>
            </w:pPr>
            <w:r w:rsidRPr="0028671B">
              <w:rPr>
                <w:sz w:val="18"/>
                <w:szCs w:val="20"/>
              </w:rPr>
              <w:t>3. Workforce</w:t>
            </w:r>
            <w:r w:rsidRPr="0028671B">
              <w:rPr>
                <w:sz w:val="18"/>
                <w:szCs w:val="20"/>
              </w:rPr>
              <w:br/>
              <w:t>standards</w:t>
            </w:r>
          </w:p>
        </w:tc>
        <w:tc>
          <w:tcPr>
            <w:tcW w:w="2353" w:type="dxa"/>
          </w:tcPr>
          <w:p w14:paraId="47734718" w14:textId="77777777" w:rsidR="00810F09" w:rsidRPr="0028671B" w:rsidRDefault="00810F09" w:rsidP="008F0858">
            <w:pPr>
              <w:pStyle w:val="VDWCtabletext"/>
              <w:rPr>
                <w:sz w:val="18"/>
                <w:szCs w:val="20"/>
              </w:rPr>
            </w:pPr>
            <w:r w:rsidRPr="0028671B">
              <w:rPr>
                <w:sz w:val="18"/>
                <w:szCs w:val="20"/>
              </w:rPr>
              <w:t>4. Engagement and</w:t>
            </w:r>
            <w:r w:rsidRPr="0028671B">
              <w:rPr>
                <w:sz w:val="18"/>
                <w:szCs w:val="20"/>
              </w:rPr>
              <w:br/>
              <w:t>communications</w:t>
            </w:r>
          </w:p>
        </w:tc>
        <w:tc>
          <w:tcPr>
            <w:tcW w:w="4418" w:type="dxa"/>
          </w:tcPr>
          <w:p w14:paraId="2C7B3C36" w14:textId="77777777" w:rsidR="00810F09" w:rsidRPr="0028671B" w:rsidRDefault="00810F09" w:rsidP="008F0858">
            <w:pPr>
              <w:pStyle w:val="VDWCtabletext"/>
              <w:rPr>
                <w:sz w:val="18"/>
                <w:szCs w:val="20"/>
              </w:rPr>
            </w:pPr>
            <w:r w:rsidRPr="0028671B">
              <w:rPr>
                <w:sz w:val="18"/>
                <w:szCs w:val="20"/>
              </w:rPr>
              <w:t>5. Enablers</w:t>
            </w:r>
          </w:p>
        </w:tc>
      </w:tr>
      <w:tr w:rsidR="00810F09" w:rsidRPr="00B23CF8" w14:paraId="64ABFB25" w14:textId="77777777" w:rsidTr="008F0858">
        <w:tc>
          <w:tcPr>
            <w:tcW w:w="1134" w:type="dxa"/>
          </w:tcPr>
          <w:p w14:paraId="36C8031F" w14:textId="77777777" w:rsidR="00810F09" w:rsidRPr="0028671B" w:rsidRDefault="00810F09" w:rsidP="008F0858">
            <w:pPr>
              <w:pStyle w:val="VDWCtablecolhead"/>
              <w:rPr>
                <w:sz w:val="18"/>
                <w:szCs w:val="20"/>
              </w:rPr>
            </w:pPr>
            <w:r w:rsidRPr="0028671B">
              <w:rPr>
                <w:sz w:val="18"/>
                <w:szCs w:val="20"/>
              </w:rPr>
              <w:t>By mid 2024</w:t>
            </w:r>
          </w:p>
        </w:tc>
        <w:tc>
          <w:tcPr>
            <w:tcW w:w="2353" w:type="dxa"/>
          </w:tcPr>
          <w:p w14:paraId="322C83BF" w14:textId="77777777" w:rsidR="00810F09" w:rsidRPr="0028671B" w:rsidRDefault="00810F09" w:rsidP="008F0858">
            <w:pPr>
              <w:pStyle w:val="VDWCtabletext"/>
              <w:rPr>
                <w:sz w:val="18"/>
                <w:szCs w:val="20"/>
              </w:rPr>
            </w:pPr>
            <w:r w:rsidRPr="0028671B">
              <w:rPr>
                <w:sz w:val="18"/>
                <w:szCs w:val="20"/>
              </w:rPr>
              <w:t>We have an accessible responsive and balanced notifications, complaints and assessment system</w:t>
            </w:r>
          </w:p>
        </w:tc>
        <w:tc>
          <w:tcPr>
            <w:tcW w:w="2552" w:type="dxa"/>
          </w:tcPr>
          <w:p w14:paraId="70C6F4CD" w14:textId="77777777" w:rsidR="00810F09" w:rsidRPr="0028671B" w:rsidRDefault="00810F09" w:rsidP="008F0858">
            <w:pPr>
              <w:pStyle w:val="VDWCtabletext"/>
              <w:rPr>
                <w:sz w:val="18"/>
                <w:szCs w:val="20"/>
              </w:rPr>
            </w:pPr>
            <w:r w:rsidRPr="0028671B">
              <w:rPr>
                <w:sz w:val="18"/>
                <w:szCs w:val="20"/>
              </w:rPr>
              <w:t>The percentage of the disability workforce that is registered is growing steadily</w:t>
            </w:r>
          </w:p>
        </w:tc>
        <w:tc>
          <w:tcPr>
            <w:tcW w:w="2353" w:type="dxa"/>
          </w:tcPr>
          <w:p w14:paraId="1BAA4214" w14:textId="77777777" w:rsidR="00810F09" w:rsidRPr="0028671B" w:rsidRDefault="00810F09" w:rsidP="008F0858">
            <w:pPr>
              <w:pStyle w:val="VDWCtabletext"/>
              <w:rPr>
                <w:sz w:val="18"/>
                <w:szCs w:val="20"/>
              </w:rPr>
            </w:pPr>
            <w:r w:rsidRPr="0028671B">
              <w:rPr>
                <w:sz w:val="18"/>
                <w:szCs w:val="20"/>
              </w:rPr>
              <w:t>Our standards for registration and training improve the knowledge and capability of the workforce</w:t>
            </w:r>
          </w:p>
        </w:tc>
        <w:tc>
          <w:tcPr>
            <w:tcW w:w="2353" w:type="dxa"/>
          </w:tcPr>
          <w:p w14:paraId="6DB5B86D" w14:textId="77777777" w:rsidR="00810F09" w:rsidRPr="0028671B" w:rsidRDefault="00810F09" w:rsidP="008F0858">
            <w:pPr>
              <w:pStyle w:val="VDWCtabletext"/>
              <w:rPr>
                <w:sz w:val="18"/>
                <w:szCs w:val="20"/>
              </w:rPr>
            </w:pPr>
            <w:r w:rsidRPr="0028671B">
              <w:rPr>
                <w:sz w:val="18"/>
                <w:szCs w:val="20"/>
              </w:rPr>
              <w:t>People with disability, their families, advocates and service providers understand and have confidence in the Scheme and its processes</w:t>
            </w:r>
          </w:p>
        </w:tc>
        <w:tc>
          <w:tcPr>
            <w:tcW w:w="4418" w:type="dxa"/>
          </w:tcPr>
          <w:p w14:paraId="6F713285" w14:textId="77777777" w:rsidR="00810F09" w:rsidRPr="0028671B" w:rsidRDefault="00810F09" w:rsidP="008F0858">
            <w:pPr>
              <w:pStyle w:val="VDWCtabletext"/>
              <w:rPr>
                <w:sz w:val="18"/>
                <w:szCs w:val="20"/>
              </w:rPr>
            </w:pPr>
            <w:r w:rsidRPr="0028671B">
              <w:rPr>
                <w:sz w:val="18"/>
                <w:szCs w:val="20"/>
              </w:rPr>
              <w:t>The Board, Commissioner and Commission work collaboratively and are well supported to develop and operate the Scheme</w:t>
            </w:r>
          </w:p>
        </w:tc>
      </w:tr>
      <w:tr w:rsidR="00810F09" w:rsidRPr="00B23CF8" w14:paraId="616FF3B2" w14:textId="77777777" w:rsidTr="008F0858">
        <w:tc>
          <w:tcPr>
            <w:tcW w:w="1134" w:type="dxa"/>
          </w:tcPr>
          <w:p w14:paraId="34CEAAC3" w14:textId="77777777" w:rsidR="00810F09" w:rsidRPr="0028671B" w:rsidRDefault="00810F09" w:rsidP="008F0858">
            <w:pPr>
              <w:pStyle w:val="VDWCtablecolhead"/>
              <w:rPr>
                <w:sz w:val="18"/>
                <w:szCs w:val="20"/>
              </w:rPr>
            </w:pPr>
            <w:r w:rsidRPr="0028671B">
              <w:rPr>
                <w:sz w:val="18"/>
                <w:szCs w:val="20"/>
              </w:rPr>
              <w:t>2022–24 priorities</w:t>
            </w:r>
          </w:p>
        </w:tc>
        <w:tc>
          <w:tcPr>
            <w:tcW w:w="2353" w:type="dxa"/>
          </w:tcPr>
          <w:p w14:paraId="7779B907" w14:textId="77777777" w:rsidR="00810F09" w:rsidRPr="0028671B" w:rsidRDefault="00810F09" w:rsidP="008F0858">
            <w:pPr>
              <w:pStyle w:val="VDWCtabletext"/>
              <w:rPr>
                <w:sz w:val="18"/>
                <w:szCs w:val="20"/>
              </w:rPr>
            </w:pPr>
            <w:r w:rsidRPr="0028671B">
              <w:rPr>
                <w:sz w:val="18"/>
                <w:szCs w:val="20"/>
              </w:rPr>
              <w:t>1.1</w:t>
            </w:r>
            <w:r w:rsidRPr="0028671B">
              <w:rPr>
                <w:sz w:val="18"/>
                <w:szCs w:val="20"/>
              </w:rPr>
              <w:t> </w:t>
            </w:r>
            <w:r w:rsidRPr="0028671B">
              <w:rPr>
                <w:sz w:val="18"/>
                <w:szCs w:val="20"/>
              </w:rPr>
              <w:t xml:space="preserve">Develop and implement a </w:t>
            </w:r>
            <w:r w:rsidRPr="00AC7438">
              <w:rPr>
                <w:b/>
                <w:bCs/>
                <w:sz w:val="18"/>
                <w:szCs w:val="20"/>
              </w:rPr>
              <w:t>compliance framework</w:t>
            </w:r>
            <w:r w:rsidRPr="0028671B">
              <w:rPr>
                <w:sz w:val="18"/>
                <w:szCs w:val="20"/>
              </w:rPr>
              <w:t xml:space="preserve"> for the conduct of registered and unregistered workers</w:t>
            </w:r>
          </w:p>
          <w:p w14:paraId="13BC389B" w14:textId="77777777" w:rsidR="00810F09" w:rsidRPr="0028671B" w:rsidRDefault="00810F09" w:rsidP="008F0858">
            <w:pPr>
              <w:pStyle w:val="VDWCtabletext"/>
              <w:rPr>
                <w:sz w:val="18"/>
                <w:szCs w:val="20"/>
              </w:rPr>
            </w:pPr>
            <w:r w:rsidRPr="0028671B">
              <w:rPr>
                <w:sz w:val="18"/>
                <w:szCs w:val="20"/>
              </w:rPr>
              <w:t>1.2</w:t>
            </w:r>
            <w:r w:rsidRPr="0028671B">
              <w:rPr>
                <w:sz w:val="18"/>
                <w:szCs w:val="20"/>
              </w:rPr>
              <w:t> </w:t>
            </w:r>
            <w:r w:rsidRPr="0028671B">
              <w:rPr>
                <w:sz w:val="18"/>
                <w:szCs w:val="20"/>
              </w:rPr>
              <w:t xml:space="preserve">Establish and implement procedures for </w:t>
            </w:r>
            <w:r w:rsidRPr="00AC7438">
              <w:rPr>
                <w:b/>
                <w:bCs/>
                <w:sz w:val="18"/>
                <w:szCs w:val="20"/>
              </w:rPr>
              <w:t>receiving, assessing and actioning</w:t>
            </w:r>
            <w:r w:rsidRPr="0028671B">
              <w:rPr>
                <w:sz w:val="18"/>
                <w:szCs w:val="20"/>
              </w:rPr>
              <w:t xml:space="preserve"> notifications and complaints</w:t>
            </w:r>
          </w:p>
          <w:p w14:paraId="36D45DEA" w14:textId="77777777" w:rsidR="00810F09" w:rsidRPr="0028671B" w:rsidRDefault="00810F09" w:rsidP="008F0858">
            <w:pPr>
              <w:pStyle w:val="VDWCtabletext"/>
              <w:rPr>
                <w:sz w:val="18"/>
                <w:szCs w:val="20"/>
              </w:rPr>
            </w:pPr>
            <w:r w:rsidRPr="0028671B">
              <w:rPr>
                <w:sz w:val="18"/>
                <w:szCs w:val="20"/>
              </w:rPr>
              <w:t>1.3</w:t>
            </w:r>
            <w:r w:rsidRPr="0028671B">
              <w:rPr>
                <w:sz w:val="18"/>
                <w:szCs w:val="20"/>
              </w:rPr>
              <w:t> </w:t>
            </w:r>
            <w:r w:rsidRPr="0028671B">
              <w:rPr>
                <w:sz w:val="18"/>
                <w:szCs w:val="20"/>
              </w:rPr>
              <w:t xml:space="preserve">Implement </w:t>
            </w:r>
            <w:r w:rsidRPr="00AC7438">
              <w:rPr>
                <w:b/>
                <w:bCs/>
                <w:sz w:val="18"/>
                <w:szCs w:val="20"/>
              </w:rPr>
              <w:t xml:space="preserve">monitoring, evaluation </w:t>
            </w:r>
            <w:r w:rsidRPr="0028671B">
              <w:rPr>
                <w:sz w:val="18"/>
                <w:szCs w:val="20"/>
              </w:rPr>
              <w:t xml:space="preserve">and </w:t>
            </w:r>
            <w:r w:rsidRPr="00AC7438">
              <w:rPr>
                <w:b/>
                <w:bCs/>
                <w:sz w:val="18"/>
                <w:szCs w:val="20"/>
              </w:rPr>
              <w:t xml:space="preserve">continuous improvement </w:t>
            </w:r>
            <w:r w:rsidRPr="0028671B">
              <w:rPr>
                <w:sz w:val="18"/>
                <w:szCs w:val="20"/>
              </w:rPr>
              <w:t>processes in relation to complaints and notification</w:t>
            </w:r>
          </w:p>
          <w:p w14:paraId="0C23980D" w14:textId="77777777" w:rsidR="00810F09" w:rsidRPr="0028671B" w:rsidRDefault="00810F09" w:rsidP="008F0858">
            <w:pPr>
              <w:pStyle w:val="VDWCtabletext"/>
              <w:rPr>
                <w:sz w:val="18"/>
                <w:szCs w:val="20"/>
              </w:rPr>
            </w:pPr>
            <w:r w:rsidRPr="0028671B">
              <w:rPr>
                <w:sz w:val="18"/>
                <w:szCs w:val="20"/>
              </w:rPr>
              <w:t>1.4</w:t>
            </w:r>
            <w:r w:rsidRPr="0028671B">
              <w:rPr>
                <w:sz w:val="18"/>
                <w:szCs w:val="20"/>
              </w:rPr>
              <w:t> </w:t>
            </w:r>
            <w:r w:rsidRPr="0028671B">
              <w:rPr>
                <w:sz w:val="18"/>
                <w:szCs w:val="20"/>
              </w:rPr>
              <w:t xml:space="preserve">Raise </w:t>
            </w:r>
            <w:r w:rsidRPr="00AC7438">
              <w:rPr>
                <w:b/>
                <w:bCs/>
                <w:sz w:val="18"/>
                <w:szCs w:val="20"/>
              </w:rPr>
              <w:t>awareness</w:t>
            </w:r>
            <w:r w:rsidRPr="0028671B">
              <w:rPr>
                <w:sz w:val="18"/>
                <w:szCs w:val="20"/>
              </w:rPr>
              <w:t xml:space="preserve"> of the Scheme’s complaints and notifications process</w:t>
            </w:r>
          </w:p>
        </w:tc>
        <w:tc>
          <w:tcPr>
            <w:tcW w:w="2552" w:type="dxa"/>
          </w:tcPr>
          <w:p w14:paraId="4C8CED7C" w14:textId="77777777" w:rsidR="00810F09" w:rsidRPr="0028671B" w:rsidRDefault="00810F09" w:rsidP="008F0858">
            <w:pPr>
              <w:pStyle w:val="VDWCtabletext"/>
              <w:rPr>
                <w:sz w:val="18"/>
                <w:szCs w:val="20"/>
              </w:rPr>
            </w:pPr>
            <w:r w:rsidRPr="0028671B">
              <w:rPr>
                <w:sz w:val="18"/>
                <w:szCs w:val="20"/>
              </w:rPr>
              <w:t>2.1</w:t>
            </w:r>
            <w:r w:rsidRPr="0028671B">
              <w:rPr>
                <w:sz w:val="18"/>
                <w:szCs w:val="20"/>
              </w:rPr>
              <w:t> </w:t>
            </w:r>
            <w:r w:rsidRPr="00E6465D">
              <w:rPr>
                <w:b/>
                <w:bCs/>
                <w:sz w:val="18"/>
                <w:szCs w:val="20"/>
              </w:rPr>
              <w:t xml:space="preserve">Build knowledge of the benefits of registration </w:t>
            </w:r>
            <w:r w:rsidRPr="0028671B">
              <w:rPr>
                <w:sz w:val="18"/>
                <w:szCs w:val="20"/>
              </w:rPr>
              <w:t>for disability support workers, their employers, and for people with disability, their families, carers and advocates</w:t>
            </w:r>
          </w:p>
          <w:p w14:paraId="557F81D1" w14:textId="77777777" w:rsidR="00810F09" w:rsidRPr="0028671B" w:rsidRDefault="00810F09" w:rsidP="008F0858">
            <w:pPr>
              <w:pStyle w:val="VDWCtabletext"/>
              <w:rPr>
                <w:sz w:val="18"/>
                <w:szCs w:val="20"/>
              </w:rPr>
            </w:pPr>
            <w:r w:rsidRPr="0028671B">
              <w:rPr>
                <w:sz w:val="18"/>
                <w:szCs w:val="20"/>
              </w:rPr>
              <w:t>2.2</w:t>
            </w:r>
            <w:r w:rsidRPr="0028671B">
              <w:rPr>
                <w:sz w:val="18"/>
                <w:szCs w:val="20"/>
              </w:rPr>
              <w:t> </w:t>
            </w:r>
            <w:r w:rsidRPr="0028671B">
              <w:rPr>
                <w:sz w:val="18"/>
                <w:szCs w:val="20"/>
              </w:rPr>
              <w:t xml:space="preserve">Ensure the </w:t>
            </w:r>
            <w:r w:rsidRPr="00E6465D">
              <w:rPr>
                <w:b/>
                <w:bCs/>
                <w:sz w:val="18"/>
                <w:szCs w:val="20"/>
              </w:rPr>
              <w:t xml:space="preserve">registration process </w:t>
            </w:r>
            <w:r w:rsidRPr="0028671B">
              <w:rPr>
                <w:sz w:val="18"/>
                <w:szCs w:val="20"/>
              </w:rPr>
              <w:t>is simple quick and easy to use</w:t>
            </w:r>
          </w:p>
          <w:p w14:paraId="17A40B9D" w14:textId="77777777" w:rsidR="00810F09" w:rsidRPr="0028671B" w:rsidRDefault="00810F09" w:rsidP="008F0858">
            <w:pPr>
              <w:pStyle w:val="VDWCtabletext"/>
              <w:rPr>
                <w:sz w:val="18"/>
                <w:szCs w:val="20"/>
              </w:rPr>
            </w:pPr>
            <w:r w:rsidRPr="0028671B">
              <w:rPr>
                <w:sz w:val="18"/>
                <w:szCs w:val="20"/>
              </w:rPr>
              <w:t>2.3</w:t>
            </w:r>
            <w:r w:rsidRPr="0028671B">
              <w:rPr>
                <w:sz w:val="18"/>
                <w:szCs w:val="20"/>
              </w:rPr>
              <w:t> </w:t>
            </w:r>
            <w:r w:rsidRPr="00E6465D">
              <w:rPr>
                <w:b/>
                <w:bCs/>
                <w:sz w:val="18"/>
                <w:szCs w:val="20"/>
              </w:rPr>
              <w:t xml:space="preserve">Promote registration </w:t>
            </w:r>
            <w:r w:rsidRPr="0028671B">
              <w:rPr>
                <w:sz w:val="18"/>
                <w:szCs w:val="20"/>
              </w:rPr>
              <w:t>to disability support workers</w:t>
            </w:r>
          </w:p>
          <w:p w14:paraId="0B5E53F7" w14:textId="77777777" w:rsidR="00810F09" w:rsidRPr="0028671B" w:rsidRDefault="00810F09" w:rsidP="008F0858">
            <w:pPr>
              <w:pStyle w:val="VDWCtabletext"/>
              <w:rPr>
                <w:sz w:val="18"/>
                <w:szCs w:val="20"/>
              </w:rPr>
            </w:pPr>
            <w:r w:rsidRPr="0028671B">
              <w:rPr>
                <w:sz w:val="18"/>
                <w:szCs w:val="20"/>
              </w:rPr>
              <w:t>2.4</w:t>
            </w:r>
            <w:r w:rsidRPr="0028671B">
              <w:rPr>
                <w:sz w:val="18"/>
                <w:szCs w:val="20"/>
              </w:rPr>
              <w:t> </w:t>
            </w:r>
            <w:r w:rsidRPr="00E6465D">
              <w:rPr>
                <w:b/>
                <w:bCs/>
                <w:sz w:val="18"/>
                <w:szCs w:val="20"/>
              </w:rPr>
              <w:t>Build demand for registered disability support workers</w:t>
            </w:r>
            <w:r w:rsidRPr="0028671B">
              <w:rPr>
                <w:sz w:val="18"/>
                <w:szCs w:val="20"/>
              </w:rPr>
              <w:t xml:space="preserve"> from:</w:t>
            </w:r>
          </w:p>
          <w:p w14:paraId="3CC7DA9C" w14:textId="77777777" w:rsidR="00810F09" w:rsidRPr="00E6465D" w:rsidRDefault="00810F09" w:rsidP="008F0858">
            <w:pPr>
              <w:pStyle w:val="VDWCtablebullet1"/>
              <w:rPr>
                <w:sz w:val="18"/>
                <w:szCs w:val="20"/>
              </w:rPr>
            </w:pPr>
            <w:r w:rsidRPr="00E6465D">
              <w:rPr>
                <w:sz w:val="18"/>
                <w:szCs w:val="20"/>
              </w:rPr>
              <w:t>people with disability, their families, carers and advocates</w:t>
            </w:r>
          </w:p>
          <w:p w14:paraId="5A1A6F22" w14:textId="77777777" w:rsidR="00810F09" w:rsidRPr="0028671B" w:rsidRDefault="00810F09" w:rsidP="008F0858">
            <w:pPr>
              <w:pStyle w:val="VDWCtablebullet1"/>
            </w:pPr>
            <w:r w:rsidRPr="00E6465D">
              <w:rPr>
                <w:sz w:val="18"/>
                <w:szCs w:val="20"/>
              </w:rPr>
              <w:t>service providers</w:t>
            </w:r>
          </w:p>
        </w:tc>
        <w:tc>
          <w:tcPr>
            <w:tcW w:w="2353" w:type="dxa"/>
          </w:tcPr>
          <w:p w14:paraId="43264ABC" w14:textId="77777777" w:rsidR="00810F09" w:rsidRPr="0028671B" w:rsidRDefault="00810F09" w:rsidP="008F0858">
            <w:pPr>
              <w:pStyle w:val="VDWCtabletext"/>
              <w:rPr>
                <w:sz w:val="18"/>
                <w:szCs w:val="20"/>
              </w:rPr>
            </w:pPr>
            <w:r w:rsidRPr="0028671B">
              <w:rPr>
                <w:sz w:val="18"/>
                <w:szCs w:val="20"/>
              </w:rPr>
              <w:t>3.1</w:t>
            </w:r>
            <w:r w:rsidRPr="0028671B">
              <w:rPr>
                <w:sz w:val="18"/>
                <w:szCs w:val="20"/>
              </w:rPr>
              <w:t> </w:t>
            </w:r>
            <w:r w:rsidRPr="0028671B">
              <w:rPr>
                <w:sz w:val="18"/>
                <w:szCs w:val="20"/>
              </w:rPr>
              <w:t xml:space="preserve">Develop a </w:t>
            </w:r>
            <w:r w:rsidRPr="00723464">
              <w:rPr>
                <w:b/>
                <w:bCs/>
                <w:sz w:val="18"/>
                <w:szCs w:val="20"/>
              </w:rPr>
              <w:t>roadmap</w:t>
            </w:r>
            <w:r w:rsidRPr="0028671B">
              <w:rPr>
                <w:sz w:val="18"/>
                <w:szCs w:val="20"/>
              </w:rPr>
              <w:t xml:space="preserve"> to guide the development of guidelines, standards and accreditation</w:t>
            </w:r>
          </w:p>
          <w:p w14:paraId="2F0DF0E7" w14:textId="77777777" w:rsidR="00810F09" w:rsidRPr="0028671B" w:rsidRDefault="00810F09" w:rsidP="008F0858">
            <w:pPr>
              <w:pStyle w:val="VDWCtabletext"/>
              <w:rPr>
                <w:sz w:val="18"/>
                <w:szCs w:val="20"/>
              </w:rPr>
            </w:pPr>
            <w:r w:rsidRPr="0028671B">
              <w:rPr>
                <w:sz w:val="18"/>
                <w:szCs w:val="20"/>
              </w:rPr>
              <w:t>3.2</w:t>
            </w:r>
            <w:r w:rsidRPr="0028671B">
              <w:rPr>
                <w:sz w:val="18"/>
                <w:szCs w:val="20"/>
              </w:rPr>
              <w:t> </w:t>
            </w:r>
            <w:r w:rsidRPr="0028671B">
              <w:rPr>
                <w:sz w:val="18"/>
                <w:szCs w:val="20"/>
              </w:rPr>
              <w:t xml:space="preserve">Prioritise </w:t>
            </w:r>
            <w:r w:rsidRPr="00723464">
              <w:rPr>
                <w:b/>
                <w:bCs/>
                <w:sz w:val="18"/>
                <w:szCs w:val="20"/>
              </w:rPr>
              <w:t>standards for registration</w:t>
            </w:r>
            <w:r w:rsidRPr="0028671B">
              <w:rPr>
                <w:sz w:val="18"/>
                <w:szCs w:val="20"/>
              </w:rPr>
              <w:t xml:space="preserve"> of disability support workers</w:t>
            </w:r>
          </w:p>
          <w:p w14:paraId="44DFA941" w14:textId="77777777" w:rsidR="00810F09" w:rsidRPr="0028671B" w:rsidRDefault="00810F09" w:rsidP="008F0858">
            <w:pPr>
              <w:pStyle w:val="VDWCtabletext"/>
              <w:rPr>
                <w:sz w:val="18"/>
                <w:szCs w:val="20"/>
              </w:rPr>
            </w:pPr>
            <w:r w:rsidRPr="0028671B">
              <w:rPr>
                <w:sz w:val="18"/>
                <w:szCs w:val="20"/>
              </w:rPr>
              <w:t>3.3</w:t>
            </w:r>
            <w:r w:rsidRPr="0028671B">
              <w:rPr>
                <w:sz w:val="18"/>
                <w:szCs w:val="20"/>
              </w:rPr>
              <w:t> </w:t>
            </w:r>
            <w:r w:rsidRPr="00723464">
              <w:rPr>
                <w:b/>
                <w:bCs/>
                <w:sz w:val="18"/>
                <w:szCs w:val="20"/>
              </w:rPr>
              <w:t>Collaborate</w:t>
            </w:r>
            <w:r w:rsidRPr="0028671B">
              <w:rPr>
                <w:sz w:val="18"/>
                <w:szCs w:val="20"/>
              </w:rPr>
              <w:t xml:space="preserve"> with organisations including employers who develop the workforce through curricula, qualifications and training</w:t>
            </w:r>
          </w:p>
          <w:p w14:paraId="536D0C90" w14:textId="77777777" w:rsidR="00810F09" w:rsidRPr="0028671B" w:rsidRDefault="00810F09" w:rsidP="008F0858">
            <w:pPr>
              <w:pStyle w:val="VDWCtabletext"/>
              <w:rPr>
                <w:sz w:val="18"/>
                <w:szCs w:val="20"/>
              </w:rPr>
            </w:pPr>
            <w:r w:rsidRPr="0028671B">
              <w:rPr>
                <w:sz w:val="18"/>
                <w:szCs w:val="20"/>
              </w:rPr>
              <w:t>3.4</w:t>
            </w:r>
            <w:r w:rsidRPr="0028671B">
              <w:rPr>
                <w:sz w:val="18"/>
                <w:szCs w:val="20"/>
              </w:rPr>
              <w:t> </w:t>
            </w:r>
            <w:r w:rsidRPr="0028671B">
              <w:rPr>
                <w:sz w:val="18"/>
                <w:szCs w:val="20"/>
              </w:rPr>
              <w:t xml:space="preserve">Strengthen the Commissions </w:t>
            </w:r>
            <w:r w:rsidRPr="00723464">
              <w:rPr>
                <w:b/>
                <w:bCs/>
                <w:sz w:val="18"/>
                <w:szCs w:val="20"/>
              </w:rPr>
              <w:t xml:space="preserve">capability, capacity and resources </w:t>
            </w:r>
            <w:r w:rsidRPr="0028671B">
              <w:rPr>
                <w:sz w:val="18"/>
                <w:szCs w:val="20"/>
              </w:rPr>
              <w:t>to develop standards</w:t>
            </w:r>
          </w:p>
        </w:tc>
        <w:tc>
          <w:tcPr>
            <w:tcW w:w="2353" w:type="dxa"/>
          </w:tcPr>
          <w:p w14:paraId="1987C403" w14:textId="77777777" w:rsidR="00810F09" w:rsidRPr="0028671B" w:rsidRDefault="00810F09" w:rsidP="008F0858">
            <w:pPr>
              <w:pStyle w:val="VDWCtabletext"/>
              <w:rPr>
                <w:sz w:val="18"/>
                <w:szCs w:val="20"/>
              </w:rPr>
            </w:pPr>
            <w:r w:rsidRPr="0028671B">
              <w:rPr>
                <w:sz w:val="18"/>
                <w:szCs w:val="20"/>
              </w:rPr>
              <w:t>4.1</w:t>
            </w:r>
            <w:r w:rsidRPr="0028671B">
              <w:rPr>
                <w:sz w:val="18"/>
                <w:szCs w:val="20"/>
              </w:rPr>
              <w:t> </w:t>
            </w:r>
            <w:r w:rsidRPr="00723464">
              <w:rPr>
                <w:b/>
                <w:bCs/>
                <w:sz w:val="18"/>
                <w:szCs w:val="20"/>
              </w:rPr>
              <w:t>Work with other regulators and agencies</w:t>
            </w:r>
            <w:r w:rsidRPr="0028671B">
              <w:rPr>
                <w:sz w:val="18"/>
                <w:szCs w:val="20"/>
              </w:rPr>
              <w:t xml:space="preserve"> in Victoria and nationally to:</w:t>
            </w:r>
          </w:p>
          <w:p w14:paraId="08775673" w14:textId="77777777" w:rsidR="00810F09" w:rsidRPr="00723464" w:rsidRDefault="00810F09" w:rsidP="008F0858">
            <w:pPr>
              <w:pStyle w:val="VDWCtablebullet1"/>
              <w:rPr>
                <w:sz w:val="18"/>
                <w:szCs w:val="20"/>
              </w:rPr>
            </w:pPr>
            <w:r w:rsidRPr="00723464">
              <w:rPr>
                <w:sz w:val="18"/>
                <w:szCs w:val="20"/>
              </w:rPr>
              <w:t>achieve quality and safety outcomes for people with disability</w:t>
            </w:r>
          </w:p>
          <w:p w14:paraId="653C2575" w14:textId="77777777" w:rsidR="00810F09" w:rsidRPr="00723464" w:rsidRDefault="00810F09" w:rsidP="008F0858">
            <w:pPr>
              <w:pStyle w:val="VDWCtablebullet1"/>
              <w:rPr>
                <w:sz w:val="18"/>
                <w:szCs w:val="20"/>
              </w:rPr>
            </w:pPr>
            <w:r w:rsidRPr="00723464">
              <w:rPr>
                <w:sz w:val="18"/>
                <w:szCs w:val="20"/>
              </w:rPr>
              <w:t>avoid unnecessary duplication of effort</w:t>
            </w:r>
          </w:p>
          <w:p w14:paraId="4F75F5BC" w14:textId="77777777" w:rsidR="00810F09" w:rsidRPr="0028671B" w:rsidRDefault="00810F09" w:rsidP="008F0858">
            <w:pPr>
              <w:pStyle w:val="VDWCtabletext"/>
              <w:rPr>
                <w:sz w:val="18"/>
                <w:szCs w:val="20"/>
              </w:rPr>
            </w:pPr>
            <w:r w:rsidRPr="0028671B">
              <w:rPr>
                <w:sz w:val="18"/>
                <w:szCs w:val="20"/>
              </w:rPr>
              <w:t>4.2</w:t>
            </w:r>
            <w:r w:rsidRPr="0028671B">
              <w:rPr>
                <w:sz w:val="18"/>
                <w:szCs w:val="20"/>
              </w:rPr>
              <w:t> </w:t>
            </w:r>
            <w:r w:rsidRPr="00764184">
              <w:rPr>
                <w:b/>
                <w:bCs/>
                <w:sz w:val="18"/>
                <w:szCs w:val="20"/>
              </w:rPr>
              <w:t>Build awareness</w:t>
            </w:r>
            <w:r w:rsidRPr="0028671B">
              <w:rPr>
                <w:sz w:val="18"/>
                <w:szCs w:val="20"/>
              </w:rPr>
              <w:t xml:space="preserve"> of the role of the Board and Commission</w:t>
            </w:r>
          </w:p>
          <w:p w14:paraId="7B610D47" w14:textId="77777777" w:rsidR="00810F09" w:rsidRPr="0028671B" w:rsidRDefault="00810F09" w:rsidP="008F0858">
            <w:pPr>
              <w:pStyle w:val="VDWCtabletext"/>
              <w:rPr>
                <w:sz w:val="18"/>
                <w:szCs w:val="20"/>
              </w:rPr>
            </w:pPr>
            <w:r w:rsidRPr="0028671B">
              <w:rPr>
                <w:sz w:val="18"/>
                <w:szCs w:val="20"/>
              </w:rPr>
              <w:t>4.3</w:t>
            </w:r>
            <w:r w:rsidRPr="0028671B">
              <w:rPr>
                <w:sz w:val="18"/>
                <w:szCs w:val="20"/>
              </w:rPr>
              <w:t> </w:t>
            </w:r>
            <w:r w:rsidRPr="0028671B">
              <w:rPr>
                <w:sz w:val="18"/>
                <w:szCs w:val="20"/>
              </w:rPr>
              <w:t xml:space="preserve">Further </w:t>
            </w:r>
            <w:r w:rsidRPr="0088146A">
              <w:rPr>
                <w:b/>
                <w:bCs/>
                <w:sz w:val="18"/>
                <w:szCs w:val="20"/>
              </w:rPr>
              <w:t>strengthen our relationships</w:t>
            </w:r>
            <w:r w:rsidRPr="0028671B">
              <w:rPr>
                <w:sz w:val="18"/>
                <w:szCs w:val="20"/>
              </w:rPr>
              <w:t xml:space="preserve"> with the community, sector and our stakeholders</w:t>
            </w:r>
          </w:p>
          <w:p w14:paraId="554750C8" w14:textId="77777777" w:rsidR="00810F09" w:rsidRPr="0028671B" w:rsidRDefault="00810F09" w:rsidP="008F0858">
            <w:pPr>
              <w:pStyle w:val="VDWCtabletext"/>
              <w:rPr>
                <w:sz w:val="18"/>
                <w:szCs w:val="20"/>
              </w:rPr>
            </w:pPr>
            <w:r w:rsidRPr="0028671B">
              <w:rPr>
                <w:sz w:val="18"/>
                <w:szCs w:val="20"/>
              </w:rPr>
              <w:t>4.4</w:t>
            </w:r>
            <w:r w:rsidRPr="0028671B">
              <w:rPr>
                <w:sz w:val="18"/>
                <w:szCs w:val="20"/>
              </w:rPr>
              <w:t> </w:t>
            </w:r>
            <w:r w:rsidRPr="0028671B">
              <w:rPr>
                <w:sz w:val="18"/>
                <w:szCs w:val="20"/>
              </w:rPr>
              <w:t xml:space="preserve">Build our capability to </w:t>
            </w:r>
            <w:r w:rsidRPr="0088146A">
              <w:rPr>
                <w:b/>
                <w:bCs/>
                <w:sz w:val="18"/>
                <w:szCs w:val="20"/>
              </w:rPr>
              <w:t>engage and consult</w:t>
            </w:r>
          </w:p>
        </w:tc>
        <w:tc>
          <w:tcPr>
            <w:tcW w:w="4418" w:type="dxa"/>
          </w:tcPr>
          <w:p w14:paraId="2BF2E964" w14:textId="77777777" w:rsidR="00810F09" w:rsidRPr="0028671B" w:rsidRDefault="00810F09" w:rsidP="008F0858">
            <w:pPr>
              <w:pStyle w:val="VDWCtabletext"/>
              <w:rPr>
                <w:sz w:val="18"/>
                <w:szCs w:val="20"/>
              </w:rPr>
            </w:pPr>
            <w:r w:rsidRPr="0028671B">
              <w:rPr>
                <w:sz w:val="18"/>
                <w:szCs w:val="20"/>
              </w:rPr>
              <w:t>5.1</w:t>
            </w:r>
            <w:r w:rsidRPr="0028671B">
              <w:rPr>
                <w:sz w:val="18"/>
                <w:szCs w:val="20"/>
              </w:rPr>
              <w:t> </w:t>
            </w:r>
            <w:r w:rsidRPr="0028671B">
              <w:rPr>
                <w:sz w:val="18"/>
                <w:szCs w:val="20"/>
              </w:rPr>
              <w:t>The Board, Commissioner and Commission have:</w:t>
            </w:r>
          </w:p>
          <w:p w14:paraId="20F067EA" w14:textId="77777777" w:rsidR="00810F09" w:rsidRPr="0028671B" w:rsidRDefault="00810F09" w:rsidP="008F0858">
            <w:pPr>
              <w:pStyle w:val="VDWCtabletext"/>
              <w:spacing w:before="60" w:after="40"/>
              <w:ind w:left="284" w:hanging="284"/>
              <w:rPr>
                <w:sz w:val="18"/>
                <w:szCs w:val="20"/>
              </w:rPr>
            </w:pPr>
            <w:r w:rsidRPr="0028671B">
              <w:rPr>
                <w:sz w:val="18"/>
                <w:szCs w:val="20"/>
              </w:rPr>
              <w:t>a)</w:t>
            </w:r>
            <w:r w:rsidRPr="0028671B">
              <w:rPr>
                <w:sz w:val="18"/>
                <w:szCs w:val="20"/>
              </w:rPr>
              <w:tab/>
              <w:t xml:space="preserve">shared </w:t>
            </w:r>
            <w:r w:rsidRPr="00744242">
              <w:rPr>
                <w:b/>
                <w:bCs/>
                <w:sz w:val="18"/>
                <w:szCs w:val="20"/>
              </w:rPr>
              <w:t>values and principles</w:t>
            </w:r>
          </w:p>
          <w:p w14:paraId="41CF3388" w14:textId="77777777" w:rsidR="00810F09" w:rsidRPr="0028671B" w:rsidRDefault="00810F09" w:rsidP="008F0858">
            <w:pPr>
              <w:pStyle w:val="VDWCtabletext"/>
              <w:spacing w:before="60" w:after="40"/>
              <w:ind w:left="284" w:hanging="284"/>
              <w:rPr>
                <w:sz w:val="18"/>
                <w:szCs w:val="20"/>
              </w:rPr>
            </w:pPr>
            <w:r w:rsidRPr="0028671B">
              <w:rPr>
                <w:sz w:val="18"/>
                <w:szCs w:val="20"/>
              </w:rPr>
              <w:t>b)</w:t>
            </w:r>
            <w:r w:rsidRPr="0028671B">
              <w:rPr>
                <w:sz w:val="18"/>
                <w:szCs w:val="20"/>
              </w:rPr>
              <w:tab/>
              <w:t xml:space="preserve">a complementary </w:t>
            </w:r>
            <w:r w:rsidRPr="003C04AA">
              <w:rPr>
                <w:b/>
                <w:bCs/>
                <w:sz w:val="18"/>
                <w:szCs w:val="20"/>
              </w:rPr>
              <w:t>partnership</w:t>
            </w:r>
            <w:r w:rsidRPr="0028671B">
              <w:rPr>
                <w:sz w:val="18"/>
                <w:szCs w:val="20"/>
              </w:rPr>
              <w:t>, underpinned by a respectful empowering and learning culture</w:t>
            </w:r>
          </w:p>
          <w:p w14:paraId="44F8B2BC" w14:textId="77777777" w:rsidR="00810F09" w:rsidRPr="0028671B" w:rsidRDefault="00810F09" w:rsidP="008F0858">
            <w:pPr>
              <w:pStyle w:val="VDWCtabletext"/>
              <w:spacing w:before="60" w:after="40"/>
              <w:ind w:left="284" w:hanging="284"/>
              <w:rPr>
                <w:sz w:val="18"/>
                <w:szCs w:val="20"/>
              </w:rPr>
            </w:pPr>
            <w:r w:rsidRPr="0028671B">
              <w:rPr>
                <w:sz w:val="18"/>
                <w:szCs w:val="20"/>
              </w:rPr>
              <w:t>c)</w:t>
            </w:r>
            <w:r w:rsidRPr="0028671B">
              <w:rPr>
                <w:sz w:val="18"/>
                <w:szCs w:val="20"/>
              </w:rPr>
              <w:tab/>
            </w:r>
            <w:r w:rsidRPr="003C04AA">
              <w:rPr>
                <w:b/>
                <w:bCs/>
                <w:sz w:val="18"/>
                <w:szCs w:val="20"/>
              </w:rPr>
              <w:t>high performing</w:t>
            </w:r>
            <w:r w:rsidRPr="0028671B">
              <w:rPr>
                <w:sz w:val="18"/>
                <w:szCs w:val="20"/>
              </w:rPr>
              <w:t xml:space="preserve"> teams that draw on each other’s strengths</w:t>
            </w:r>
          </w:p>
          <w:p w14:paraId="13EDB755" w14:textId="77777777" w:rsidR="00810F09" w:rsidRPr="0028671B" w:rsidRDefault="00810F09" w:rsidP="008F0858">
            <w:pPr>
              <w:pStyle w:val="VDWCtabletext"/>
              <w:spacing w:before="60" w:after="40"/>
              <w:ind w:left="284" w:hanging="284"/>
              <w:rPr>
                <w:sz w:val="18"/>
                <w:szCs w:val="20"/>
              </w:rPr>
            </w:pPr>
            <w:r w:rsidRPr="0028671B">
              <w:rPr>
                <w:sz w:val="18"/>
                <w:szCs w:val="20"/>
              </w:rPr>
              <w:t>d)</w:t>
            </w:r>
            <w:r w:rsidRPr="0028671B">
              <w:rPr>
                <w:sz w:val="18"/>
                <w:szCs w:val="20"/>
              </w:rPr>
              <w:tab/>
              <w:t xml:space="preserve">the necessary </w:t>
            </w:r>
            <w:r w:rsidRPr="003C04AA">
              <w:rPr>
                <w:b/>
                <w:bCs/>
                <w:sz w:val="18"/>
                <w:szCs w:val="20"/>
              </w:rPr>
              <w:t>resources, capacity and capability</w:t>
            </w:r>
          </w:p>
          <w:p w14:paraId="219EF3F9" w14:textId="77777777" w:rsidR="00810F09" w:rsidRPr="0028671B" w:rsidRDefault="00810F09" w:rsidP="008F0858">
            <w:pPr>
              <w:pStyle w:val="VDWCtabletext"/>
              <w:spacing w:before="60" w:after="40"/>
              <w:ind w:left="284" w:hanging="284"/>
              <w:rPr>
                <w:sz w:val="18"/>
                <w:szCs w:val="20"/>
              </w:rPr>
            </w:pPr>
            <w:r w:rsidRPr="0028671B">
              <w:rPr>
                <w:sz w:val="18"/>
                <w:szCs w:val="20"/>
              </w:rPr>
              <w:t>e)</w:t>
            </w:r>
            <w:r w:rsidRPr="0028671B">
              <w:rPr>
                <w:sz w:val="18"/>
                <w:szCs w:val="20"/>
              </w:rPr>
              <w:tab/>
              <w:t xml:space="preserve">supporting </w:t>
            </w:r>
            <w:r w:rsidRPr="003C04AA">
              <w:rPr>
                <w:b/>
                <w:bCs/>
                <w:sz w:val="18"/>
                <w:szCs w:val="20"/>
              </w:rPr>
              <w:t>technology</w:t>
            </w:r>
            <w:r w:rsidRPr="0028671B">
              <w:rPr>
                <w:sz w:val="18"/>
                <w:szCs w:val="20"/>
              </w:rPr>
              <w:t xml:space="preserve"> hardware systems and applications</w:t>
            </w:r>
          </w:p>
          <w:p w14:paraId="6A0264DB" w14:textId="77777777" w:rsidR="00810F09" w:rsidRPr="0028671B" w:rsidRDefault="00810F09" w:rsidP="008F0858">
            <w:pPr>
              <w:pStyle w:val="VDWCtabletext"/>
              <w:spacing w:before="60" w:after="40"/>
              <w:rPr>
                <w:sz w:val="18"/>
                <w:szCs w:val="20"/>
              </w:rPr>
            </w:pPr>
            <w:r w:rsidRPr="0028671B">
              <w:rPr>
                <w:sz w:val="18"/>
                <w:szCs w:val="20"/>
              </w:rPr>
              <w:t>5.2</w:t>
            </w:r>
            <w:r w:rsidRPr="0028671B">
              <w:rPr>
                <w:sz w:val="18"/>
                <w:szCs w:val="20"/>
              </w:rPr>
              <w:t> </w:t>
            </w:r>
            <w:r w:rsidRPr="0028671B">
              <w:rPr>
                <w:sz w:val="18"/>
                <w:szCs w:val="20"/>
              </w:rPr>
              <w:t xml:space="preserve">The Board, Commissioner and Commission collaboratively develop a </w:t>
            </w:r>
            <w:r w:rsidRPr="003C04AA">
              <w:rPr>
                <w:b/>
                <w:bCs/>
                <w:sz w:val="18"/>
                <w:szCs w:val="20"/>
              </w:rPr>
              <w:t>regulatory approach</w:t>
            </w:r>
            <w:r w:rsidRPr="0028671B">
              <w:rPr>
                <w:sz w:val="18"/>
                <w:szCs w:val="20"/>
              </w:rPr>
              <w:t xml:space="preserve"> that, is evidence-informed, risk-based, responsive and balanced</w:t>
            </w:r>
          </w:p>
          <w:p w14:paraId="78E417BF" w14:textId="77777777" w:rsidR="00810F09" w:rsidRPr="0028671B" w:rsidRDefault="00810F09" w:rsidP="008F0858">
            <w:pPr>
              <w:pStyle w:val="VDWCtabletext"/>
              <w:rPr>
                <w:sz w:val="18"/>
                <w:szCs w:val="20"/>
              </w:rPr>
            </w:pPr>
            <w:r w:rsidRPr="0028671B">
              <w:rPr>
                <w:sz w:val="18"/>
                <w:szCs w:val="20"/>
              </w:rPr>
              <w:t>5.3</w:t>
            </w:r>
            <w:r w:rsidRPr="0028671B">
              <w:rPr>
                <w:sz w:val="18"/>
                <w:szCs w:val="20"/>
              </w:rPr>
              <w:t> </w:t>
            </w:r>
            <w:r w:rsidRPr="0028671B">
              <w:rPr>
                <w:sz w:val="18"/>
                <w:szCs w:val="20"/>
              </w:rPr>
              <w:t xml:space="preserve">Progressively build an </w:t>
            </w:r>
            <w:r w:rsidRPr="003C04AA">
              <w:rPr>
                <w:b/>
                <w:bCs/>
                <w:sz w:val="18"/>
                <w:szCs w:val="20"/>
              </w:rPr>
              <w:t xml:space="preserve">evidence-based understanding </w:t>
            </w:r>
            <w:r w:rsidRPr="0028671B">
              <w:rPr>
                <w:sz w:val="18"/>
                <w:szCs w:val="20"/>
              </w:rPr>
              <w:t>of the Scheme’s impact, strengths and shortcomings, and ways these may be addressed</w:t>
            </w:r>
          </w:p>
        </w:tc>
      </w:tr>
    </w:tbl>
    <w:p w14:paraId="1EE4D081" w14:textId="77777777" w:rsidR="00810F09" w:rsidRDefault="00810F09" w:rsidP="00810F09">
      <w:pPr>
        <w:pStyle w:val="Body"/>
      </w:pPr>
    </w:p>
    <w:p w14:paraId="2B151EB8" w14:textId="77777777" w:rsidR="008717A5" w:rsidRDefault="008717A5" w:rsidP="00D05DD8">
      <w:pPr>
        <w:pStyle w:val="Heading1"/>
        <w:sectPr w:rsidR="008717A5" w:rsidSect="00754804">
          <w:type w:val="evenPage"/>
          <w:pgSz w:w="16838" w:h="11906" w:orient="landscape"/>
          <w:pgMar w:top="1304" w:right="1134" w:bottom="1304" w:left="1134" w:header="454" w:footer="454" w:gutter="0"/>
          <w:cols w:space="720"/>
          <w:noEndnote/>
          <w:docGrid w:linePitch="272"/>
        </w:sectPr>
      </w:pPr>
    </w:p>
    <w:p w14:paraId="17788FE0" w14:textId="77777777" w:rsidR="00C23573" w:rsidRPr="00C23573" w:rsidRDefault="00C23573" w:rsidP="00D05DD8">
      <w:pPr>
        <w:pStyle w:val="Heading1"/>
      </w:pPr>
      <w:bookmarkStart w:id="17" w:name="_Toc165463498"/>
      <w:r w:rsidRPr="00C23573">
        <w:lastRenderedPageBreak/>
        <w:t xml:space="preserve">Our </w:t>
      </w:r>
      <w:r w:rsidRPr="00D05DD8">
        <w:t>focus</w:t>
      </w:r>
      <w:r w:rsidRPr="00C23573">
        <w:t xml:space="preserve"> for 2023–24</w:t>
      </w:r>
      <w:bookmarkEnd w:id="17"/>
    </w:p>
    <w:p w14:paraId="073434B5" w14:textId="77777777" w:rsidR="00C23573" w:rsidRPr="00C23573" w:rsidRDefault="00C23573" w:rsidP="00C23573">
      <w:pPr>
        <w:pStyle w:val="Body"/>
      </w:pPr>
      <w:r w:rsidRPr="00C23573">
        <w:t>A significant proportion of our resources dedicated to delivering the Scheme are allocated to core regulatory and enabling functions (Table 1) and much of these, at this stage in our maturity journey, correspond to our consolidation phase.</w:t>
      </w:r>
    </w:p>
    <w:p w14:paraId="78D6BD4C" w14:textId="77777777" w:rsidR="00C23573" w:rsidRPr="00C23573" w:rsidRDefault="00C23573" w:rsidP="00C23573">
      <w:pPr>
        <w:pStyle w:val="Body"/>
      </w:pPr>
      <w:r w:rsidRPr="00C23573">
        <w:t xml:space="preserve">At this stage in our maturity journey, we are moving to a phase that sees us consolidating our  way of operating and assessing how far we have come in implementing the scheme. Our key priorities for this financial year are therefore to respond efficiently to the growing number of complaints and notifications regarding unsafe or poor-quality disability services. This reflects the maturity of the Scheme and the increasing number of people who use disability services and the number of complaints and notifications lodged with us. </w:t>
      </w:r>
    </w:p>
    <w:p w14:paraId="6128F9A1" w14:textId="77777777" w:rsidR="00C23573" w:rsidRPr="00C23573" w:rsidRDefault="00C23573" w:rsidP="00C23573">
      <w:pPr>
        <w:pStyle w:val="Body"/>
      </w:pPr>
      <w:r w:rsidRPr="00C23573">
        <w:t>Table 2 shows our key strategic projects for 2023-24. To this end we are consolidating our capabilities, profile and recognition in the disability sector. Much of our actions and deliverables this year are therefore also relate to expanding and deepening recognition and understanding of our work in the community. This important work will help us to build community confidence in the work of the Commission and Board.</w:t>
      </w:r>
    </w:p>
    <w:p w14:paraId="7BFD7A6A" w14:textId="77777777" w:rsidR="00C23573" w:rsidRPr="00C23573" w:rsidRDefault="00C23573" w:rsidP="00C23573">
      <w:pPr>
        <w:pStyle w:val="Body"/>
      </w:pPr>
      <w:r w:rsidRPr="00C23573">
        <w:t>The Board and Commission also plan to undertake analysis and consultation to prepare for the development and implementation of new important standards to promote the quality and recognition of disability workers registered under the Scheme.</w:t>
      </w:r>
    </w:p>
    <w:p w14:paraId="464E280C" w14:textId="77777777" w:rsidR="00C23573" w:rsidRPr="00C23573" w:rsidRDefault="00C23573" w:rsidP="003F3439">
      <w:pPr>
        <w:pStyle w:val="Figurecaption"/>
      </w:pPr>
      <w:r w:rsidRPr="00C23573">
        <w:t>Table 1: Core regulatory and enabling functions</w:t>
      </w:r>
    </w:p>
    <w:p w14:paraId="69F0B78B" w14:textId="52BE3A0B" w:rsidR="003F3439" w:rsidRDefault="003F3439" w:rsidP="003F3439">
      <w:pPr>
        <w:pStyle w:val="Heading3"/>
        <w:rPr>
          <w:rFonts w:ascii="VIC SemiBold" w:hAnsi="VIC SemiBold" w:cs="VIC SemiBold"/>
          <w:color w:val="03003F"/>
          <w:sz w:val="20"/>
          <w:szCs w:val="20"/>
        </w:rPr>
      </w:pPr>
      <w:r>
        <w:t>Safety and compliance</w:t>
      </w:r>
    </w:p>
    <w:p w14:paraId="4E378F6A" w14:textId="08100732" w:rsidR="003F3439" w:rsidRDefault="003F3439" w:rsidP="003F3439">
      <w:pPr>
        <w:pStyle w:val="Bullet1"/>
      </w:pPr>
      <w:r>
        <w:t>Complaint handling and responses</w:t>
      </w:r>
    </w:p>
    <w:p w14:paraId="4485A921" w14:textId="77777777" w:rsidR="003F3439" w:rsidRDefault="003F3439" w:rsidP="003F3439">
      <w:pPr>
        <w:pStyle w:val="Bullet1"/>
      </w:pPr>
      <w:r>
        <w:t>Investigations</w:t>
      </w:r>
    </w:p>
    <w:p w14:paraId="56B625BD" w14:textId="77777777" w:rsidR="003F3439" w:rsidRDefault="003F3439" w:rsidP="003F3439">
      <w:pPr>
        <w:pStyle w:val="Bullet1"/>
      </w:pPr>
      <w:r>
        <w:t>Prohibition orders</w:t>
      </w:r>
    </w:p>
    <w:p w14:paraId="3E642F82" w14:textId="4C6035E8" w:rsidR="003F3439" w:rsidRDefault="003F3439" w:rsidP="008F0858">
      <w:pPr>
        <w:pStyle w:val="Bullet1"/>
      </w:pPr>
      <w:r>
        <w:t>Working with other regulators</w:t>
      </w:r>
      <w:r>
        <w:tab/>
      </w:r>
    </w:p>
    <w:p w14:paraId="7867A987" w14:textId="3BDF8AF7" w:rsidR="003F3439" w:rsidRPr="003F3439" w:rsidRDefault="003F3439" w:rsidP="003F3439">
      <w:pPr>
        <w:pStyle w:val="Heading3"/>
      </w:pPr>
      <w:r w:rsidRPr="003F3439">
        <w:t>Registration</w:t>
      </w:r>
    </w:p>
    <w:p w14:paraId="247F71BC" w14:textId="6C5AF4A1" w:rsidR="003F3439" w:rsidRPr="003F3439" w:rsidRDefault="003F3439" w:rsidP="003F3439">
      <w:pPr>
        <w:pStyle w:val="Bullet1"/>
      </w:pPr>
      <w:r w:rsidRPr="003F3439">
        <w:t>Registration assessment</w:t>
      </w:r>
    </w:p>
    <w:p w14:paraId="483AF52A" w14:textId="77777777" w:rsidR="003F3439" w:rsidRPr="003F3439" w:rsidRDefault="003F3439" w:rsidP="003F3439">
      <w:pPr>
        <w:pStyle w:val="Bullet1"/>
      </w:pPr>
      <w:r w:rsidRPr="003F3439">
        <w:t>Continuous improvement to application and renewal processes</w:t>
      </w:r>
    </w:p>
    <w:p w14:paraId="18DC2B1F" w14:textId="77777777" w:rsidR="003F3439" w:rsidRPr="003F3439" w:rsidRDefault="003F3439" w:rsidP="003F3439">
      <w:pPr>
        <w:pStyle w:val="Bullet1"/>
      </w:pPr>
      <w:r w:rsidRPr="003F3439">
        <w:t>Customer support</w:t>
      </w:r>
    </w:p>
    <w:p w14:paraId="28E3A22E" w14:textId="1CB3EB94" w:rsidR="003F3439" w:rsidRPr="003F3439" w:rsidRDefault="003F3439" w:rsidP="003F3439">
      <w:pPr>
        <w:pStyle w:val="Bullet1"/>
      </w:pPr>
      <w:r w:rsidRPr="003F3439">
        <w:t>Publishing the register of registered disability workers</w:t>
      </w:r>
      <w:r w:rsidRPr="003F3439">
        <w:tab/>
      </w:r>
    </w:p>
    <w:p w14:paraId="6A948CCF" w14:textId="77777777" w:rsidR="003F3439" w:rsidRDefault="003F3439" w:rsidP="003F3439">
      <w:pPr>
        <w:pStyle w:val="Heading3"/>
      </w:pPr>
      <w:r w:rsidRPr="003F3439">
        <w:t>Workforce standards</w:t>
      </w:r>
    </w:p>
    <w:p w14:paraId="3FD17FAD" w14:textId="24870341" w:rsidR="003F3439" w:rsidRPr="003F3439" w:rsidRDefault="003F3439" w:rsidP="003F3439">
      <w:pPr>
        <w:pStyle w:val="Bullet1"/>
      </w:pPr>
      <w:r w:rsidRPr="003F3439">
        <w:t>Policy directions and guidance</w:t>
      </w:r>
    </w:p>
    <w:p w14:paraId="631BD5D4" w14:textId="77777777" w:rsidR="003F3439" w:rsidRPr="003F3439" w:rsidRDefault="003F3439" w:rsidP="003F3439">
      <w:pPr>
        <w:pStyle w:val="Bullet1"/>
      </w:pPr>
      <w:r w:rsidRPr="003F3439">
        <w:t>Standards, guidelines development and fees</w:t>
      </w:r>
    </w:p>
    <w:p w14:paraId="65B25B09" w14:textId="3197EFE4" w:rsidR="003F3439" w:rsidRPr="003F3439" w:rsidRDefault="003F3439" w:rsidP="003F3439">
      <w:pPr>
        <w:pStyle w:val="Bullet1"/>
      </w:pPr>
      <w:r w:rsidRPr="003F3439">
        <w:t>Accreditation processes</w:t>
      </w:r>
    </w:p>
    <w:p w14:paraId="042298D4" w14:textId="77777777" w:rsidR="003F3439" w:rsidRDefault="003F3439" w:rsidP="003F3439">
      <w:pPr>
        <w:pStyle w:val="Heading3"/>
      </w:pPr>
      <w:r w:rsidRPr="003F3439">
        <w:t>Engagement and communication</w:t>
      </w:r>
    </w:p>
    <w:p w14:paraId="065B464F" w14:textId="4C69710B" w:rsidR="003F3439" w:rsidRPr="003F3439" w:rsidRDefault="003F3439" w:rsidP="003F3439">
      <w:pPr>
        <w:pStyle w:val="Bullet1"/>
      </w:pPr>
      <w:r w:rsidRPr="003F3439">
        <w:t>Stakeholder engagement</w:t>
      </w:r>
    </w:p>
    <w:p w14:paraId="76A4F699" w14:textId="77777777" w:rsidR="003F3439" w:rsidRPr="003F3439" w:rsidRDefault="003F3439" w:rsidP="003F3439">
      <w:pPr>
        <w:pStyle w:val="Bullet1"/>
      </w:pPr>
      <w:r w:rsidRPr="003F3439">
        <w:t>Public information and education campaigns</w:t>
      </w:r>
    </w:p>
    <w:p w14:paraId="31954ABD" w14:textId="77777777" w:rsidR="003F3439" w:rsidRPr="003F3439" w:rsidRDefault="003F3439" w:rsidP="003F3439">
      <w:pPr>
        <w:pStyle w:val="Bullet1"/>
      </w:pPr>
      <w:r w:rsidRPr="003F3439">
        <w:t>Media presence</w:t>
      </w:r>
    </w:p>
    <w:p w14:paraId="4760F194" w14:textId="77777777" w:rsidR="003F3439" w:rsidRDefault="003F3439" w:rsidP="008F0858">
      <w:pPr>
        <w:pStyle w:val="TableHeading1Tables"/>
      </w:pPr>
    </w:p>
    <w:p w14:paraId="14812CF6" w14:textId="67F50B0E" w:rsidR="00104761" w:rsidRDefault="003F3439" w:rsidP="00104761">
      <w:pPr>
        <w:pStyle w:val="Heading3"/>
      </w:pPr>
      <w:r w:rsidRPr="00104761">
        <w:lastRenderedPageBreak/>
        <w:t>Enablers</w:t>
      </w:r>
    </w:p>
    <w:p w14:paraId="6D208817" w14:textId="55539753" w:rsidR="003F3439" w:rsidRPr="00104761" w:rsidRDefault="003F3439" w:rsidP="00104761">
      <w:pPr>
        <w:pStyle w:val="Bullet1"/>
      </w:pPr>
      <w:r w:rsidRPr="00104761">
        <w:t>Corporate compliance</w:t>
      </w:r>
    </w:p>
    <w:p w14:paraId="1411C595" w14:textId="77777777" w:rsidR="003F3439" w:rsidRPr="00104761" w:rsidRDefault="003F3439" w:rsidP="00104761">
      <w:pPr>
        <w:pStyle w:val="Bullet1"/>
      </w:pPr>
      <w:r w:rsidRPr="00104761">
        <w:t>Internal audit</w:t>
      </w:r>
    </w:p>
    <w:p w14:paraId="08D595E9" w14:textId="77777777" w:rsidR="003F3439" w:rsidRPr="00104761" w:rsidRDefault="003F3439" w:rsidP="00104761">
      <w:pPr>
        <w:pStyle w:val="Bullet1"/>
      </w:pPr>
      <w:r w:rsidRPr="00104761">
        <w:t>Board Secretariat</w:t>
      </w:r>
    </w:p>
    <w:p w14:paraId="04E4C8A4" w14:textId="77777777" w:rsidR="003F3439" w:rsidRPr="00104761" w:rsidRDefault="003F3439" w:rsidP="00104761">
      <w:pPr>
        <w:pStyle w:val="Bullet1"/>
      </w:pPr>
      <w:r w:rsidRPr="00104761">
        <w:t>Strategic and operational policy</w:t>
      </w:r>
    </w:p>
    <w:p w14:paraId="57F1E982" w14:textId="77777777" w:rsidR="003F3439" w:rsidRPr="00104761" w:rsidRDefault="003F3439" w:rsidP="00104761">
      <w:pPr>
        <w:pStyle w:val="Bullet1"/>
      </w:pPr>
      <w:r w:rsidRPr="00104761">
        <w:t>Recruitment management</w:t>
      </w:r>
    </w:p>
    <w:p w14:paraId="76980753" w14:textId="77777777" w:rsidR="003F3439" w:rsidRPr="00104761" w:rsidRDefault="003F3439" w:rsidP="00104761">
      <w:pPr>
        <w:pStyle w:val="Bullet1"/>
      </w:pPr>
      <w:r w:rsidRPr="00104761">
        <w:t>Health and safety</w:t>
      </w:r>
    </w:p>
    <w:p w14:paraId="415DF8F5" w14:textId="77777777" w:rsidR="003F3439" w:rsidRPr="00104761" w:rsidRDefault="003F3439" w:rsidP="00104761">
      <w:pPr>
        <w:pStyle w:val="Bullet1"/>
      </w:pPr>
      <w:r w:rsidRPr="00104761">
        <w:t>Finance</w:t>
      </w:r>
    </w:p>
    <w:p w14:paraId="4D24A7F1" w14:textId="77777777" w:rsidR="003F3439" w:rsidRPr="00104761" w:rsidRDefault="003F3439" w:rsidP="00104761">
      <w:pPr>
        <w:pStyle w:val="Bullet1"/>
      </w:pPr>
      <w:r w:rsidRPr="00104761">
        <w:t>Diversity and inclusion</w:t>
      </w:r>
      <w:r w:rsidRPr="00104761">
        <w:tab/>
        <w:t>Legal advice</w:t>
      </w:r>
    </w:p>
    <w:p w14:paraId="124BB9B2" w14:textId="77777777" w:rsidR="003F3439" w:rsidRPr="00104761" w:rsidRDefault="003F3439" w:rsidP="00104761">
      <w:pPr>
        <w:pStyle w:val="Bullet1"/>
      </w:pPr>
      <w:r w:rsidRPr="00104761">
        <w:t>Strategic planning and risk management</w:t>
      </w:r>
    </w:p>
    <w:p w14:paraId="7E1F9FC7" w14:textId="77777777" w:rsidR="003F3439" w:rsidRPr="00104761" w:rsidRDefault="003F3439" w:rsidP="00104761">
      <w:pPr>
        <w:pStyle w:val="Bullet1"/>
      </w:pPr>
      <w:r w:rsidRPr="00104761">
        <w:t>IT development and support</w:t>
      </w:r>
    </w:p>
    <w:p w14:paraId="1E418563" w14:textId="77777777" w:rsidR="003F3439" w:rsidRPr="00104761" w:rsidRDefault="003F3439" w:rsidP="00104761">
      <w:pPr>
        <w:pStyle w:val="Bullet1"/>
      </w:pPr>
      <w:r w:rsidRPr="00104761">
        <w:t>Data management and analytics</w:t>
      </w:r>
    </w:p>
    <w:p w14:paraId="52A6F69D" w14:textId="77777777" w:rsidR="003F3439" w:rsidRPr="00104761" w:rsidRDefault="003F3439" w:rsidP="00104761">
      <w:pPr>
        <w:pStyle w:val="Bullet1"/>
      </w:pPr>
      <w:r w:rsidRPr="00104761">
        <w:t>Monitoring and evaluation</w:t>
      </w:r>
    </w:p>
    <w:p w14:paraId="6A4FC218" w14:textId="77777777" w:rsidR="003F3439" w:rsidRPr="00104761" w:rsidRDefault="003F3439" w:rsidP="00104761">
      <w:pPr>
        <w:pStyle w:val="Bullet1"/>
      </w:pPr>
      <w:r w:rsidRPr="00104761">
        <w:t>Research</w:t>
      </w:r>
    </w:p>
    <w:p w14:paraId="1C19A954" w14:textId="0581264C" w:rsidR="00C23573" w:rsidRPr="00C23573" w:rsidRDefault="003F3439" w:rsidP="00C23573">
      <w:pPr>
        <w:pStyle w:val="Bullet1"/>
      </w:pPr>
      <w:r w:rsidRPr="00104761">
        <w:t>Delegations and authorisations</w:t>
      </w:r>
    </w:p>
    <w:p w14:paraId="7AE86446" w14:textId="77777777" w:rsidR="00C82DAF" w:rsidRDefault="00C82DAF" w:rsidP="00C23573">
      <w:pPr>
        <w:pStyle w:val="Figurecaption"/>
        <w:sectPr w:rsidR="00C82DAF" w:rsidSect="00754804">
          <w:type w:val="oddPage"/>
          <w:pgSz w:w="11906" w:h="16838"/>
          <w:pgMar w:top="1701" w:right="1304" w:bottom="1247" w:left="1304" w:header="454" w:footer="454" w:gutter="0"/>
          <w:cols w:space="720"/>
          <w:noEndnote/>
          <w:docGrid w:linePitch="272"/>
        </w:sectPr>
      </w:pPr>
    </w:p>
    <w:p w14:paraId="1F81CA0B" w14:textId="77777777" w:rsidR="00C23573" w:rsidRPr="00C23573" w:rsidRDefault="00C23573" w:rsidP="00C23573">
      <w:pPr>
        <w:pStyle w:val="Figurecaption"/>
      </w:pPr>
      <w:r w:rsidRPr="00C23573">
        <w:lastRenderedPageBreak/>
        <w:t>Table 2: Key projects for 2023-24</w:t>
      </w:r>
    </w:p>
    <w:tbl>
      <w:tblPr>
        <w:tblStyle w:val="TableGrid1"/>
        <w:tblW w:w="0" w:type="auto"/>
        <w:tblLayout w:type="fixed"/>
        <w:tblLook w:val="00A0" w:firstRow="1" w:lastRow="0" w:firstColumn="1" w:lastColumn="0" w:noHBand="0" w:noVBand="0"/>
      </w:tblPr>
      <w:tblGrid>
        <w:gridCol w:w="1701"/>
        <w:gridCol w:w="2494"/>
        <w:gridCol w:w="2495"/>
        <w:gridCol w:w="2494"/>
        <w:gridCol w:w="2495"/>
        <w:gridCol w:w="2494"/>
      </w:tblGrid>
      <w:tr w:rsidR="00C23573" w14:paraId="2707F0CA" w14:textId="77777777" w:rsidTr="00C82DAF">
        <w:trPr>
          <w:trHeight w:val="60"/>
        </w:trPr>
        <w:tc>
          <w:tcPr>
            <w:tcW w:w="1701" w:type="dxa"/>
          </w:tcPr>
          <w:p w14:paraId="5130C942" w14:textId="77777777" w:rsidR="00C23573" w:rsidRDefault="00C23573" w:rsidP="0075326F">
            <w:pPr>
              <w:pStyle w:val="Tablecolhead"/>
            </w:pPr>
            <w:r>
              <w:t>Pillar</w:t>
            </w:r>
          </w:p>
        </w:tc>
        <w:tc>
          <w:tcPr>
            <w:tcW w:w="2494" w:type="dxa"/>
          </w:tcPr>
          <w:p w14:paraId="0E632FC3" w14:textId="77777777" w:rsidR="00C23573" w:rsidRDefault="00C23573" w:rsidP="0075326F">
            <w:pPr>
              <w:pStyle w:val="Tablecolhead"/>
            </w:pPr>
            <w:r>
              <w:t>1. Safety and compliance</w:t>
            </w:r>
          </w:p>
        </w:tc>
        <w:tc>
          <w:tcPr>
            <w:tcW w:w="2495" w:type="dxa"/>
          </w:tcPr>
          <w:p w14:paraId="4BC5D761" w14:textId="77777777" w:rsidR="00C23573" w:rsidRDefault="00C23573" w:rsidP="0075326F">
            <w:pPr>
              <w:pStyle w:val="Tablecolhead"/>
            </w:pPr>
            <w:r>
              <w:t>2. Registration</w:t>
            </w:r>
            <w:r>
              <w:br/>
            </w:r>
          </w:p>
        </w:tc>
        <w:tc>
          <w:tcPr>
            <w:tcW w:w="2494" w:type="dxa"/>
          </w:tcPr>
          <w:p w14:paraId="7AAEC37B" w14:textId="77777777" w:rsidR="00C23573" w:rsidRDefault="00C23573" w:rsidP="0075326F">
            <w:pPr>
              <w:pStyle w:val="Tablecolhead"/>
            </w:pPr>
            <w:r>
              <w:t>3. Workforce standards</w:t>
            </w:r>
          </w:p>
        </w:tc>
        <w:tc>
          <w:tcPr>
            <w:tcW w:w="2495" w:type="dxa"/>
          </w:tcPr>
          <w:p w14:paraId="72B7CE44" w14:textId="77777777" w:rsidR="00C23573" w:rsidRDefault="00C23573" w:rsidP="0075326F">
            <w:pPr>
              <w:pStyle w:val="Tablecolhead"/>
            </w:pPr>
            <w:r>
              <w:t>4. Engagement and communication</w:t>
            </w:r>
          </w:p>
        </w:tc>
        <w:tc>
          <w:tcPr>
            <w:tcW w:w="2494" w:type="dxa"/>
          </w:tcPr>
          <w:p w14:paraId="58E6BDB0" w14:textId="77777777" w:rsidR="00C23573" w:rsidRDefault="00C23573" w:rsidP="0075326F">
            <w:pPr>
              <w:pStyle w:val="Tablecolhead"/>
            </w:pPr>
            <w:r>
              <w:t>5. Enablers</w:t>
            </w:r>
            <w:r>
              <w:br/>
            </w:r>
          </w:p>
        </w:tc>
      </w:tr>
      <w:tr w:rsidR="00C23573" w14:paraId="16D0D18E" w14:textId="77777777" w:rsidTr="00C82DAF">
        <w:trPr>
          <w:trHeight w:val="60"/>
        </w:trPr>
        <w:tc>
          <w:tcPr>
            <w:tcW w:w="1701" w:type="dxa"/>
          </w:tcPr>
          <w:p w14:paraId="76AD45C7" w14:textId="77777777" w:rsidR="00C23573" w:rsidRPr="00107EB8" w:rsidRDefault="00C23573" w:rsidP="00107EB8">
            <w:pPr>
              <w:pStyle w:val="VDWCtablecolhead"/>
            </w:pPr>
            <w:r w:rsidRPr="00107EB8">
              <w:t>2024 Outcome</w:t>
            </w:r>
          </w:p>
        </w:tc>
        <w:tc>
          <w:tcPr>
            <w:tcW w:w="2494" w:type="dxa"/>
          </w:tcPr>
          <w:p w14:paraId="705ADFAC" w14:textId="77777777" w:rsidR="00C23573" w:rsidRDefault="00C23573" w:rsidP="00C82DAF">
            <w:pPr>
              <w:pStyle w:val="Tabletext"/>
            </w:pPr>
            <w:r>
              <w:t>We have an accessible responsive and balanced notifications, complaints and assessment system</w:t>
            </w:r>
          </w:p>
        </w:tc>
        <w:tc>
          <w:tcPr>
            <w:tcW w:w="2495" w:type="dxa"/>
          </w:tcPr>
          <w:p w14:paraId="6943B767" w14:textId="77777777" w:rsidR="00C23573" w:rsidRDefault="00C23573" w:rsidP="00C82DAF">
            <w:pPr>
              <w:pStyle w:val="Tabletext"/>
            </w:pPr>
            <w:r>
              <w:t>The percentage of the disability workforce that is registered is growing steadily</w:t>
            </w:r>
          </w:p>
        </w:tc>
        <w:tc>
          <w:tcPr>
            <w:tcW w:w="2494" w:type="dxa"/>
          </w:tcPr>
          <w:p w14:paraId="65DFD63D" w14:textId="77777777" w:rsidR="00C23573" w:rsidRDefault="00C23573" w:rsidP="00C82DAF">
            <w:pPr>
              <w:pStyle w:val="Tabletext"/>
            </w:pPr>
            <w:r>
              <w:t>Our standards for registration and training improve the knowledge and capability of the workforce</w:t>
            </w:r>
          </w:p>
        </w:tc>
        <w:tc>
          <w:tcPr>
            <w:tcW w:w="2495" w:type="dxa"/>
          </w:tcPr>
          <w:p w14:paraId="572ACA9C" w14:textId="77777777" w:rsidR="00C23573" w:rsidRDefault="00C23573" w:rsidP="00C82DAF">
            <w:pPr>
              <w:pStyle w:val="Tabletext"/>
            </w:pPr>
            <w:r>
              <w:t>People with disability, their families, advocates and service providers understand and have confidence in it and its processes</w:t>
            </w:r>
          </w:p>
        </w:tc>
        <w:tc>
          <w:tcPr>
            <w:tcW w:w="2494" w:type="dxa"/>
          </w:tcPr>
          <w:p w14:paraId="1FABA475" w14:textId="77777777" w:rsidR="00C23573" w:rsidRDefault="00C23573" w:rsidP="00C82DAF">
            <w:pPr>
              <w:pStyle w:val="Tabletext"/>
            </w:pPr>
            <w:r>
              <w:t xml:space="preserve">The Board, Commissioner and Commission work collaboratively and are well supported to develop and operate </w:t>
            </w:r>
            <w:r>
              <w:br/>
              <w:t>the Scheme</w:t>
            </w:r>
          </w:p>
        </w:tc>
      </w:tr>
      <w:tr w:rsidR="00C23573" w14:paraId="44BE95D2" w14:textId="77777777" w:rsidTr="00C82DAF">
        <w:trPr>
          <w:trHeight w:val="60"/>
        </w:trPr>
        <w:tc>
          <w:tcPr>
            <w:tcW w:w="1701" w:type="dxa"/>
          </w:tcPr>
          <w:p w14:paraId="6403FF23" w14:textId="77777777" w:rsidR="00C23573" w:rsidRPr="00107EB8" w:rsidRDefault="00C23573" w:rsidP="00107EB8">
            <w:pPr>
              <w:pStyle w:val="VDWCtablecolhead"/>
            </w:pPr>
            <w:r w:rsidRPr="00107EB8">
              <w:t>Key project</w:t>
            </w:r>
          </w:p>
        </w:tc>
        <w:tc>
          <w:tcPr>
            <w:tcW w:w="2494" w:type="dxa"/>
          </w:tcPr>
          <w:p w14:paraId="085FD7A8" w14:textId="77777777" w:rsidR="00C23573" w:rsidRDefault="00C23573" w:rsidP="00C82DAF">
            <w:pPr>
              <w:pStyle w:val="Tablebullet1"/>
              <w:ind w:left="284" w:hanging="284"/>
            </w:pPr>
            <w:r>
              <w:t>Assessment of excluded workers</w:t>
            </w:r>
          </w:p>
          <w:p w14:paraId="5FE0F7C2" w14:textId="77777777" w:rsidR="00C23573" w:rsidRDefault="00C23573" w:rsidP="00C82DAF">
            <w:pPr>
              <w:pStyle w:val="Tablebullet1"/>
              <w:ind w:left="284" w:hanging="284"/>
            </w:pPr>
            <w:r>
              <w:t>Community education activities</w:t>
            </w:r>
          </w:p>
        </w:tc>
        <w:tc>
          <w:tcPr>
            <w:tcW w:w="2495" w:type="dxa"/>
          </w:tcPr>
          <w:p w14:paraId="548DC25D" w14:textId="77777777" w:rsidR="00C23573" w:rsidRDefault="00C23573" w:rsidP="00C82DAF">
            <w:pPr>
              <w:pStyle w:val="Tablebullet1"/>
              <w:ind w:left="284" w:hanging="284"/>
            </w:pPr>
            <w:r>
              <w:t>Registration communications and engagement project</w:t>
            </w:r>
          </w:p>
          <w:p w14:paraId="5D665169" w14:textId="77777777" w:rsidR="00C23573" w:rsidRDefault="00C23573" w:rsidP="00C82DAF">
            <w:pPr>
              <w:pStyle w:val="Tablebullet1"/>
              <w:ind w:left="284" w:hanging="284"/>
            </w:pPr>
            <w:r>
              <w:t>Registration ready engagement</w:t>
            </w:r>
          </w:p>
          <w:p w14:paraId="394E0B00" w14:textId="77777777" w:rsidR="00C23573" w:rsidRDefault="00C23573" w:rsidP="00C82DAF">
            <w:pPr>
              <w:pStyle w:val="Tablebullet1"/>
              <w:ind w:left="284" w:hanging="284"/>
            </w:pPr>
            <w:r>
              <w:t xml:space="preserve"> Acceptance of NDIS worker clearance in registration</w:t>
            </w:r>
          </w:p>
          <w:p w14:paraId="0208E163" w14:textId="77777777" w:rsidR="00C23573" w:rsidRDefault="00C23573" w:rsidP="00C82DAF">
            <w:pPr>
              <w:pStyle w:val="Tablebullet1"/>
              <w:ind w:left="284" w:hanging="284"/>
            </w:pPr>
            <w:r>
              <w:t>Renewal improvement via CPD</w:t>
            </w:r>
          </w:p>
          <w:p w14:paraId="29BB3309" w14:textId="77777777" w:rsidR="00C23573" w:rsidRDefault="00C23573" w:rsidP="00C82DAF">
            <w:pPr>
              <w:pStyle w:val="Tablebullet1"/>
              <w:ind w:left="284" w:hanging="284"/>
            </w:pPr>
            <w:r>
              <w:t>Promote registration in key subsectors of disability workforce</w:t>
            </w:r>
          </w:p>
        </w:tc>
        <w:tc>
          <w:tcPr>
            <w:tcW w:w="2494" w:type="dxa"/>
          </w:tcPr>
          <w:p w14:paraId="0DA1B039" w14:textId="77777777" w:rsidR="00C23573" w:rsidRDefault="00C23573" w:rsidP="00C82DAF">
            <w:pPr>
              <w:pStyle w:val="Tablebullet1"/>
              <w:ind w:left="284" w:hanging="284"/>
            </w:pPr>
            <w:r>
              <w:t>Disability worker training and development catalogue</w:t>
            </w:r>
          </w:p>
          <w:p w14:paraId="0EF23DEC" w14:textId="77777777" w:rsidR="00C23573" w:rsidRDefault="00C23573" w:rsidP="00C82DAF">
            <w:pPr>
              <w:pStyle w:val="Tablebullet1"/>
              <w:ind w:left="284" w:hanging="284"/>
            </w:pPr>
            <w:r>
              <w:t>Prioritisation of future registration standards</w:t>
            </w:r>
          </w:p>
        </w:tc>
        <w:tc>
          <w:tcPr>
            <w:tcW w:w="2495" w:type="dxa"/>
          </w:tcPr>
          <w:p w14:paraId="7E3E3796" w14:textId="77777777" w:rsidR="00C23573" w:rsidRDefault="00C23573" w:rsidP="00C82DAF">
            <w:pPr>
              <w:pStyle w:val="Tablebullet1"/>
              <w:ind w:left="284" w:hanging="284"/>
            </w:pPr>
            <w:r>
              <w:t>Stakeholder Engagement Framework and Plan</w:t>
            </w:r>
          </w:p>
          <w:p w14:paraId="33E75FD1" w14:textId="77777777" w:rsidR="00C23573" w:rsidRDefault="00C23573" w:rsidP="00C82DAF">
            <w:pPr>
              <w:pStyle w:val="Tablebullet1"/>
              <w:ind w:left="284" w:hanging="284"/>
            </w:pPr>
            <w:r>
              <w:t>Roundtables: Scheme awareness and support for stakeholders</w:t>
            </w:r>
          </w:p>
        </w:tc>
        <w:tc>
          <w:tcPr>
            <w:tcW w:w="2494" w:type="dxa"/>
          </w:tcPr>
          <w:p w14:paraId="4E53A52C" w14:textId="77777777" w:rsidR="00C23573" w:rsidRDefault="00C23573" w:rsidP="00C82DAF">
            <w:pPr>
              <w:pStyle w:val="Tablebullet1"/>
              <w:ind w:left="284" w:hanging="284"/>
            </w:pPr>
            <w:r>
              <w:t>Annual Sector Survey</w:t>
            </w:r>
          </w:p>
          <w:p w14:paraId="79F4776D" w14:textId="77777777" w:rsidR="00C23573" w:rsidRDefault="00C23573" w:rsidP="00C82DAF">
            <w:pPr>
              <w:pStyle w:val="Tablebullet1"/>
              <w:ind w:left="284" w:hanging="284"/>
            </w:pPr>
            <w:r>
              <w:t>Improved registration data reporting</w:t>
            </w:r>
          </w:p>
          <w:p w14:paraId="329686C3" w14:textId="77777777" w:rsidR="00C23573" w:rsidRDefault="00C23573" w:rsidP="00C82DAF">
            <w:pPr>
              <w:pStyle w:val="Tablebullet1"/>
              <w:ind w:left="284" w:hanging="284"/>
            </w:pPr>
            <w:r>
              <w:t>Disability Workforce Mapping Research</w:t>
            </w:r>
          </w:p>
          <w:p w14:paraId="53BCAB8C" w14:textId="77777777" w:rsidR="00C23573" w:rsidRDefault="00C23573" w:rsidP="00C82DAF">
            <w:pPr>
              <w:pStyle w:val="Tablebullet1"/>
              <w:ind w:left="284" w:hanging="284"/>
            </w:pPr>
            <w:r>
              <w:t>Case Management System Review</w:t>
            </w:r>
          </w:p>
          <w:p w14:paraId="080E095B" w14:textId="77777777" w:rsidR="00C23573" w:rsidRDefault="00C23573" w:rsidP="00C82DAF">
            <w:pPr>
              <w:pStyle w:val="Tablebullet1"/>
              <w:ind w:left="284" w:hanging="284"/>
            </w:pPr>
            <w:r>
              <w:t>Diversity and Inclusion Framework and plan</w:t>
            </w:r>
          </w:p>
          <w:p w14:paraId="1D89A654" w14:textId="77777777" w:rsidR="00C23573" w:rsidRDefault="00C23573" w:rsidP="00C82DAF">
            <w:pPr>
              <w:pStyle w:val="Tablebullet1"/>
              <w:ind w:left="284" w:hanging="284"/>
            </w:pPr>
            <w:r>
              <w:t xml:space="preserve">Strategic Plan </w:t>
            </w:r>
            <w:r>
              <w:br/>
              <w:t>2024–27</w:t>
            </w:r>
          </w:p>
        </w:tc>
      </w:tr>
      <w:tr w:rsidR="00D42156" w14:paraId="7AB65057" w14:textId="77777777" w:rsidTr="009E3EE4">
        <w:trPr>
          <w:trHeight w:val="60"/>
        </w:trPr>
        <w:tc>
          <w:tcPr>
            <w:tcW w:w="1701" w:type="dxa"/>
          </w:tcPr>
          <w:p w14:paraId="5E8660B2" w14:textId="77777777" w:rsidR="00D42156" w:rsidRPr="00107EB8" w:rsidRDefault="00D42156" w:rsidP="00107EB8">
            <w:pPr>
              <w:pStyle w:val="VDWCtablecolhead"/>
            </w:pPr>
            <w:r w:rsidRPr="00107EB8">
              <w:t>Core</w:t>
            </w:r>
          </w:p>
        </w:tc>
        <w:tc>
          <w:tcPr>
            <w:tcW w:w="12472" w:type="dxa"/>
            <w:gridSpan w:val="5"/>
          </w:tcPr>
          <w:p w14:paraId="2B8A7BA6" w14:textId="615B1771" w:rsidR="00D42156" w:rsidRDefault="00D42156" w:rsidP="00D42156">
            <w:pPr>
              <w:pStyle w:val="Tabletext"/>
              <w:jc w:val="center"/>
              <w:rPr>
                <w:rFonts w:ascii="VIC Medium" w:hAnsi="VIC Medium"/>
              </w:rPr>
            </w:pPr>
            <w:r>
              <w:t>Core regulatory and enabling functions</w:t>
            </w:r>
          </w:p>
        </w:tc>
      </w:tr>
    </w:tbl>
    <w:p w14:paraId="3F350CEC" w14:textId="77777777" w:rsidR="00C23573" w:rsidRPr="00C23573" w:rsidRDefault="00C23573" w:rsidP="00C23573">
      <w:pPr>
        <w:pStyle w:val="Body"/>
      </w:pPr>
    </w:p>
    <w:p w14:paraId="09BAC300" w14:textId="77777777" w:rsidR="00C82DAF" w:rsidRDefault="00C82DAF" w:rsidP="00C23573">
      <w:pPr>
        <w:pStyle w:val="Heading2"/>
        <w:sectPr w:rsidR="00C82DAF" w:rsidSect="00754804">
          <w:type w:val="oddPage"/>
          <w:pgSz w:w="16838" w:h="11906" w:orient="landscape"/>
          <w:pgMar w:top="1304" w:right="1134" w:bottom="1304" w:left="1134" w:header="454" w:footer="454" w:gutter="0"/>
          <w:cols w:space="720"/>
          <w:noEndnote/>
          <w:docGrid w:linePitch="272"/>
        </w:sectPr>
      </w:pPr>
    </w:p>
    <w:p w14:paraId="713D8230" w14:textId="77777777" w:rsidR="00C23573" w:rsidRPr="00047111" w:rsidRDefault="00C23573" w:rsidP="00047111">
      <w:pPr>
        <w:pStyle w:val="Heading1"/>
      </w:pPr>
      <w:bookmarkStart w:id="18" w:name="_Toc165463499"/>
      <w:r w:rsidRPr="00047111">
        <w:lastRenderedPageBreak/>
        <w:t>Tracking our performance</w:t>
      </w:r>
      <w:bookmarkEnd w:id="18"/>
    </w:p>
    <w:p w14:paraId="5FB85E14" w14:textId="77777777" w:rsidR="00C23573" w:rsidRPr="00C23573" w:rsidRDefault="00C23573" w:rsidP="00C23573">
      <w:pPr>
        <w:pStyle w:val="Body"/>
      </w:pPr>
      <w:r w:rsidRPr="00C23573">
        <w:t>We have developed a Monitoring, Evaluation and Learning (MEL) Framework to ensure the Commission and the Board have the tools needed to make well-informed, evidence-based decisions. We have established three ways of looking at our performance over the year.</w:t>
      </w:r>
    </w:p>
    <w:p w14:paraId="3EFDFBCF" w14:textId="77777777" w:rsidR="00C23573" w:rsidRPr="00C23573" w:rsidRDefault="00C23573" w:rsidP="00047111">
      <w:pPr>
        <w:pStyle w:val="Heading2"/>
      </w:pPr>
      <w:bookmarkStart w:id="19" w:name="_Toc165463500"/>
      <w:r w:rsidRPr="00C23573">
        <w:t xml:space="preserve">Monthly review of key performance indicators </w:t>
      </w:r>
      <w:r w:rsidRPr="00047111">
        <w:t>and</w:t>
      </w:r>
      <w:r w:rsidRPr="00C23573">
        <w:t xml:space="preserve"> measures</w:t>
      </w:r>
      <w:bookmarkEnd w:id="19"/>
    </w:p>
    <w:p w14:paraId="30B2062C" w14:textId="77777777" w:rsidR="00C23573" w:rsidRPr="00C23573" w:rsidRDefault="00C23573" w:rsidP="00C23573">
      <w:pPr>
        <w:pStyle w:val="Body"/>
      </w:pPr>
      <w:r w:rsidRPr="00C23573">
        <w:t>Pillar 1 Safety and compliance and pillar 2 Registration focus on our two key regulatory functions. These are supported by engagement and communications activities in pillar 4. On a monthly basis the Commission monitors a range of key performance indicators and measures across these pillars and use them to help us inform our day-to-day operations.</w:t>
      </w:r>
    </w:p>
    <w:p w14:paraId="38A394E2" w14:textId="77777777" w:rsidR="00C23573" w:rsidRPr="00047111" w:rsidRDefault="00C23573" w:rsidP="00047111">
      <w:pPr>
        <w:pStyle w:val="Heading2"/>
      </w:pPr>
      <w:bookmarkStart w:id="20" w:name="_Toc165463501"/>
      <w:r w:rsidRPr="00047111">
        <w:t>Performance reporting against our business plan</w:t>
      </w:r>
      <w:bookmarkEnd w:id="20"/>
    </w:p>
    <w:p w14:paraId="76938634" w14:textId="77777777" w:rsidR="00C23573" w:rsidRPr="00C23573" w:rsidRDefault="00C23573" w:rsidP="00C23573">
      <w:pPr>
        <w:pStyle w:val="Body"/>
      </w:pPr>
      <w:r w:rsidRPr="00C23573">
        <w:t>The Commission monitors progress against our key actions and projects monthly and updates the Board quarterly on this progress.</w:t>
      </w:r>
    </w:p>
    <w:p w14:paraId="039F7532" w14:textId="77777777" w:rsidR="00C23573" w:rsidRPr="00047111" w:rsidRDefault="00C23573" w:rsidP="00047111">
      <w:pPr>
        <w:pStyle w:val="Heading2"/>
      </w:pPr>
      <w:bookmarkStart w:id="21" w:name="_Toc165463502"/>
      <w:r w:rsidRPr="00047111">
        <w:t>Statement of expectations</w:t>
      </w:r>
      <w:bookmarkEnd w:id="21"/>
    </w:p>
    <w:p w14:paraId="175FBAF6" w14:textId="77777777" w:rsidR="00C23573" w:rsidRPr="00C23573" w:rsidRDefault="00C23573" w:rsidP="00C23573">
      <w:pPr>
        <w:pStyle w:val="Body"/>
      </w:pPr>
      <w:r w:rsidRPr="00C23573">
        <w:t>Statements of expectations were considered as part of the business planning process in early 2023 for the development of the 2023–24 business plan. The statement of expectations review to occur in 2024 after the statements of expectations have been in place for 2 years.</w:t>
      </w:r>
    </w:p>
    <w:p w14:paraId="4E9420E5" w14:textId="77777777" w:rsidR="00C23573" w:rsidRPr="00C23573" w:rsidRDefault="00C23573" w:rsidP="00C23573">
      <w:pPr>
        <w:pStyle w:val="Figurecaption"/>
        <w:rPr>
          <w:rStyle w:val="Strong"/>
          <w:b/>
          <w:bCs w:val="0"/>
        </w:rPr>
      </w:pPr>
      <w:r w:rsidRPr="00C23573">
        <w:t>Table 3. Example of performance measures</w:t>
      </w:r>
    </w:p>
    <w:p w14:paraId="06372D34" w14:textId="77777777" w:rsidR="00FD52AA" w:rsidRDefault="00FD52AA" w:rsidP="00FD52AA">
      <w:pPr>
        <w:pStyle w:val="Heading3"/>
      </w:pPr>
      <w:r>
        <w:t>Pillar 1. Safety and compliance</w:t>
      </w:r>
    </w:p>
    <w:p w14:paraId="0DCDE65B" w14:textId="77777777" w:rsidR="00FD52AA" w:rsidRPr="00FD52AA" w:rsidRDefault="00FD52AA" w:rsidP="00FD52AA">
      <w:pPr>
        <w:pStyle w:val="Tabletext"/>
      </w:pPr>
      <w:r w:rsidRPr="00FD52AA">
        <w:t>Number of notifications received</w:t>
      </w:r>
    </w:p>
    <w:p w14:paraId="2F0AE8F5" w14:textId="77777777" w:rsidR="00FD52AA" w:rsidRPr="00FD52AA" w:rsidRDefault="00FD52AA" w:rsidP="00FD52AA">
      <w:pPr>
        <w:pStyle w:val="Tabletext"/>
      </w:pPr>
      <w:r w:rsidRPr="00FD52AA">
        <w:t>Number of notifications closed</w:t>
      </w:r>
    </w:p>
    <w:p w14:paraId="5097C5CF" w14:textId="77777777" w:rsidR="00FD52AA" w:rsidRPr="00FD52AA" w:rsidRDefault="00FD52AA" w:rsidP="00FD52AA">
      <w:pPr>
        <w:pStyle w:val="Tabletext"/>
      </w:pPr>
      <w:r w:rsidRPr="00FD52AA">
        <w:t>Number of complaints received</w:t>
      </w:r>
    </w:p>
    <w:p w14:paraId="698C88FD" w14:textId="77777777" w:rsidR="00FD52AA" w:rsidRPr="00FD52AA" w:rsidRDefault="00FD52AA" w:rsidP="00FD52AA">
      <w:pPr>
        <w:pStyle w:val="Tabletext"/>
      </w:pPr>
      <w:r w:rsidRPr="00FD52AA">
        <w:t>Number of complaints closed</w:t>
      </w:r>
    </w:p>
    <w:p w14:paraId="4F70363D" w14:textId="77777777" w:rsidR="00FD52AA" w:rsidRPr="00FD52AA" w:rsidRDefault="00FD52AA" w:rsidP="00FD52AA">
      <w:pPr>
        <w:pStyle w:val="Tabletext"/>
      </w:pPr>
      <w:r w:rsidRPr="00FD52AA">
        <w:t>Number of investigations commenced</w:t>
      </w:r>
    </w:p>
    <w:p w14:paraId="1EDDA452" w14:textId="77777777" w:rsidR="00FD52AA" w:rsidRPr="00FD52AA" w:rsidRDefault="00FD52AA" w:rsidP="00FD52AA">
      <w:pPr>
        <w:pStyle w:val="Tabletext"/>
      </w:pPr>
      <w:r w:rsidRPr="00FD52AA">
        <w:t>Number of actions taken and timeframes</w:t>
      </w:r>
    </w:p>
    <w:p w14:paraId="37F58F51" w14:textId="77777777" w:rsidR="00FD52AA" w:rsidRPr="00FD52AA" w:rsidRDefault="00FD52AA" w:rsidP="00FD52AA">
      <w:pPr>
        <w:pStyle w:val="Heading3"/>
      </w:pPr>
      <w:r w:rsidRPr="00FD52AA">
        <w:t>Pillar 2. Registration</w:t>
      </w:r>
    </w:p>
    <w:p w14:paraId="6287F2BC" w14:textId="77777777" w:rsidR="00FD52AA" w:rsidRPr="00FD52AA" w:rsidRDefault="00FD52AA" w:rsidP="00FD52AA">
      <w:pPr>
        <w:pStyle w:val="Tabletext"/>
      </w:pPr>
      <w:r w:rsidRPr="00FD52AA">
        <w:t>Number of applications for registration received</w:t>
      </w:r>
    </w:p>
    <w:p w14:paraId="14780E1C" w14:textId="77777777" w:rsidR="00FD52AA" w:rsidRPr="00FD52AA" w:rsidRDefault="00FD52AA" w:rsidP="00FD52AA">
      <w:pPr>
        <w:pStyle w:val="Tabletext"/>
      </w:pPr>
      <w:r w:rsidRPr="00FD52AA">
        <w:t>Number of registrations granted/ granted with conditions</w:t>
      </w:r>
    </w:p>
    <w:p w14:paraId="5CC20CA8" w14:textId="77777777" w:rsidR="00FD52AA" w:rsidRPr="00FD52AA" w:rsidRDefault="00FD52AA" w:rsidP="00FD52AA">
      <w:pPr>
        <w:pStyle w:val="Tabletext"/>
      </w:pPr>
      <w:r w:rsidRPr="00FD52AA">
        <w:t>Number of applications refused</w:t>
      </w:r>
    </w:p>
    <w:p w14:paraId="1B6C639F" w14:textId="77777777" w:rsidR="00FD52AA" w:rsidRPr="00FD52AA" w:rsidRDefault="00FD52AA" w:rsidP="00FD52AA">
      <w:pPr>
        <w:pStyle w:val="Tabletext"/>
      </w:pPr>
      <w:r w:rsidRPr="00FD52AA">
        <w:t>Number of applications withdrawn by applicant/ withdrawn under s 153(5)</w:t>
      </w:r>
    </w:p>
    <w:p w14:paraId="28369564" w14:textId="77777777" w:rsidR="00FD52AA" w:rsidRPr="00FD52AA" w:rsidRDefault="00FD52AA" w:rsidP="00FD52AA">
      <w:pPr>
        <w:pStyle w:val="Tabletext"/>
      </w:pPr>
      <w:r w:rsidRPr="00FD52AA">
        <w:t>Number of renewals received / granted / granted with conditions / withdrawn / refused</w:t>
      </w:r>
    </w:p>
    <w:p w14:paraId="510DF3DF" w14:textId="77777777" w:rsidR="00FD52AA" w:rsidRPr="00FD52AA" w:rsidRDefault="00FD52AA" w:rsidP="00FD52AA">
      <w:pPr>
        <w:pStyle w:val="Heading3"/>
      </w:pPr>
      <w:r w:rsidRPr="00FD52AA">
        <w:t>Pillar 4. Engagement and communication</w:t>
      </w:r>
    </w:p>
    <w:p w14:paraId="1F5183FC" w14:textId="77777777" w:rsidR="00FD52AA" w:rsidRPr="00FD52AA" w:rsidRDefault="00FD52AA" w:rsidP="00FD52AA">
      <w:pPr>
        <w:pStyle w:val="Tabletext"/>
      </w:pPr>
      <w:r w:rsidRPr="00FD52AA">
        <w:t>Number of stakeholders engaged through meetings and events</w:t>
      </w:r>
    </w:p>
    <w:p w14:paraId="15412973" w14:textId="77777777" w:rsidR="00FD52AA" w:rsidRPr="00FD52AA" w:rsidRDefault="00FD52AA" w:rsidP="00FD52AA">
      <w:pPr>
        <w:pStyle w:val="Tabletext"/>
      </w:pPr>
      <w:r w:rsidRPr="00FD52AA">
        <w:t>Number of documents downloaded from website</w:t>
      </w:r>
    </w:p>
    <w:p w14:paraId="240A3180" w14:textId="77777777" w:rsidR="00C23573" w:rsidRPr="00C23573" w:rsidRDefault="00C23573" w:rsidP="00C23573">
      <w:pPr>
        <w:pStyle w:val="Heading2"/>
        <w:rPr>
          <w:rStyle w:val="Strong"/>
          <w:b/>
          <w:bCs w:val="0"/>
        </w:rPr>
      </w:pPr>
    </w:p>
    <w:p w14:paraId="3619AE4D" w14:textId="77777777" w:rsidR="00C23573" w:rsidRPr="00FD52AA" w:rsidRDefault="00C23573" w:rsidP="00FD52AA">
      <w:pPr>
        <w:pStyle w:val="Heading1"/>
      </w:pPr>
      <w:bookmarkStart w:id="22" w:name="_Toc165463503"/>
      <w:r w:rsidRPr="00FD52AA">
        <w:t>Approach to risk management</w:t>
      </w:r>
      <w:bookmarkEnd w:id="22"/>
    </w:p>
    <w:p w14:paraId="12409FA9" w14:textId="77777777" w:rsidR="00C23573" w:rsidRPr="00C23573" w:rsidRDefault="00C23573" w:rsidP="00C23573">
      <w:pPr>
        <w:pStyle w:val="Body"/>
      </w:pPr>
      <w:r w:rsidRPr="00C23573">
        <w:t xml:space="preserve">We have taken a Scheme view of our risks (encompassing the Commission and Board). </w:t>
      </w:r>
      <w:r w:rsidRPr="00C23573">
        <w:br/>
        <w:t>The significance of these risks will vary over time. Broadly, these risks relate to:</w:t>
      </w:r>
    </w:p>
    <w:p w14:paraId="5439C825" w14:textId="77777777" w:rsidR="00C23573" w:rsidRPr="00C23573" w:rsidRDefault="00C23573" w:rsidP="00C23573">
      <w:pPr>
        <w:pStyle w:val="Bullet1"/>
      </w:pPr>
      <w:r w:rsidRPr="00C23573">
        <w:t>protecting people with disabilities and their wellbeing through promoting the Scheme and taking appropriate compliance and enforcement action regarding the quality and safety of services received</w:t>
      </w:r>
    </w:p>
    <w:p w14:paraId="47C024A8" w14:textId="77777777" w:rsidR="00C23573" w:rsidRPr="00C23573" w:rsidRDefault="00C23573" w:rsidP="00C23573">
      <w:pPr>
        <w:pStyle w:val="Bullet1"/>
      </w:pPr>
      <w:r w:rsidRPr="00C23573">
        <w:t>promoting the Scheme and the professionalisation of the disability workforce to enhance the quality and safety of services they provide</w:t>
      </w:r>
    </w:p>
    <w:p w14:paraId="314B2C7B" w14:textId="77777777" w:rsidR="00C23573" w:rsidRPr="00C23573" w:rsidRDefault="00C23573" w:rsidP="00C23573">
      <w:pPr>
        <w:pStyle w:val="Bullet1"/>
      </w:pPr>
      <w:r w:rsidRPr="00C23573">
        <w:t>the effective operation of the Scheme, appropriate resourcing and well-supported Commission and Board to deliver outcomes.</w:t>
      </w:r>
    </w:p>
    <w:p w14:paraId="2BF6304B" w14:textId="77777777" w:rsidR="00C23573" w:rsidRPr="00C23573" w:rsidRDefault="00C23573" w:rsidP="00C23573">
      <w:pPr>
        <w:pStyle w:val="Bodyafterbullets"/>
      </w:pPr>
      <w:r w:rsidRPr="00C23573">
        <w:t>Operational risks are actively managed through ongoing internal discussions and an internal audit plan that actively addresses the way both the Board and Commission operate to manage the Scheme. When required, these risks are escalated in various ways, for example to the Audit and Risk Committee or with the Commissioner and Board Chair directly.</w:t>
      </w:r>
    </w:p>
    <w:p w14:paraId="15252945" w14:textId="77777777" w:rsidR="001F60BC" w:rsidRPr="000D0E83" w:rsidRDefault="001F60BC" w:rsidP="00F8194B">
      <w:pPr>
        <w:pStyle w:val="Heading1"/>
      </w:pPr>
    </w:p>
    <w:p w14:paraId="22D0144A" w14:textId="77777777" w:rsidR="00A61412" w:rsidRPr="000D0E83" w:rsidRDefault="00A61412">
      <w:pPr>
        <w:pStyle w:val="Heading1"/>
      </w:pPr>
    </w:p>
    <w:sectPr w:rsidR="00A61412" w:rsidRPr="000D0E83" w:rsidSect="00754804">
      <w:type w:val="evenPage"/>
      <w:pgSz w:w="11906" w:h="16838"/>
      <w:pgMar w:top="1701" w:right="1304" w:bottom="1247" w:left="1304" w:header="454" w:footer="454"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0C4AE" w14:textId="77777777" w:rsidR="00754804" w:rsidRDefault="00754804">
      <w:r>
        <w:separator/>
      </w:r>
    </w:p>
  </w:endnote>
  <w:endnote w:type="continuationSeparator" w:id="0">
    <w:p w14:paraId="6D463696" w14:textId="77777777" w:rsidR="00754804" w:rsidRDefault="00754804">
      <w:r>
        <w:continuationSeparator/>
      </w:r>
    </w:p>
  </w:endnote>
  <w:endnote w:type="continuationNotice" w:id="1">
    <w:p w14:paraId="23E39BEB" w14:textId="77777777" w:rsidR="00754804" w:rsidRDefault="007548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Sylfaen"/>
    <w:panose1 w:val="00000500000000020000"/>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Regular">
    <w:altName w:val="Calibri"/>
    <w:panose1 w:val="00000500000000000000"/>
    <w:charset w:val="4D"/>
    <w:family w:val="auto"/>
    <w:notTrueType/>
    <w:pitch w:val="variable"/>
    <w:sig w:usb0="00000007" w:usb1="00000000" w:usb2="00000000" w:usb3="00000000" w:csb0="00000093" w:csb1="00000000"/>
  </w:font>
  <w:font w:name="Yu Mincho">
    <w:altName w:val="游明朝"/>
    <w:panose1 w:val="02020400000000000000"/>
    <w:charset w:val="80"/>
    <w:family w:val="roman"/>
    <w:pitch w:val="variable"/>
    <w:sig w:usb0="800002E7" w:usb1="2AC7FCFF" w:usb2="00000012" w:usb3="00000000" w:csb0="0002009F" w:csb1="00000000"/>
  </w:font>
  <w:font w:name="VIC-SemiBold">
    <w:altName w:val="Calibri"/>
    <w:panose1 w:val="00000700000000000000"/>
    <w:charset w:val="4D"/>
    <w:family w:val="auto"/>
    <w:notTrueType/>
    <w:pitch w:val="variable"/>
    <w:sig w:usb0="00000007" w:usb1="00000000" w:usb2="00000000" w:usb3="00000000" w:csb0="00000093" w:csb1="00000000"/>
  </w:font>
  <w:font w:name="VIC-Italic">
    <w:altName w:val="Calibri"/>
    <w:panose1 w:val="00000500000000000000"/>
    <w:charset w:val="4D"/>
    <w:family w:val="auto"/>
    <w:notTrueType/>
    <w:pitch w:val="variable"/>
    <w:sig w:usb0="00000007" w:usb1="00000000" w:usb2="00000000" w:usb3="00000000" w:csb0="00000093" w:csb1="00000000"/>
  </w:font>
  <w:font w:name="VIC">
    <w:panose1 w:val="00000500000000000000"/>
    <w:charset w:val="4D"/>
    <w:family w:val="auto"/>
    <w:notTrueType/>
    <w:pitch w:val="variable"/>
    <w:sig w:usb0="00000007" w:usb1="00000000" w:usb2="00000000" w:usb3="00000000" w:csb0="00000093" w:csb1="00000000"/>
  </w:font>
  <w:font w:name="VIC SemiBold">
    <w:panose1 w:val="00000700000000000000"/>
    <w:charset w:val="4D"/>
    <w:family w:val="auto"/>
    <w:notTrueType/>
    <w:pitch w:val="variable"/>
    <w:sig w:usb0="00000007" w:usb1="00000000" w:usb2="00000000" w:usb3="00000000" w:csb0="00000093" w:csb1="00000000"/>
  </w:font>
  <w:font w:name="VIC Medium">
    <w:panose1 w:val="00000600000000000000"/>
    <w:charset w:val="4D"/>
    <w:family w:val="auto"/>
    <w:notTrueType/>
    <w:pitch w:val="variable"/>
    <w:sig w:usb0="00000007" w:usb1="00000000" w:usb2="00000000" w:usb3="00000000" w:csb0="00000093" w:csb1="00000000"/>
  </w:font>
  <w:font w:name="VIC Light">
    <w:panose1 w:val="00000400000000000000"/>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03F9A" w14:textId="5FA7F7B9" w:rsidR="005A0326" w:rsidRPr="0051568D" w:rsidRDefault="00FD0C95" w:rsidP="005A0326">
    <w:pPr>
      <w:pStyle w:val="Header"/>
    </w:pPr>
    <w:r>
      <w:t>Victorian Disability Worker Commission and Disability Worker Registration Board of Victoria</w:t>
    </w:r>
    <w:r w:rsidR="005A0326">
      <w:t xml:space="preserve"> </w:t>
    </w:r>
    <w:r w:rsidR="005A0326">
      <w:br/>
    </w:r>
    <w:r w:rsidR="00A66961">
      <w:t>Corporate plan</w:t>
    </w:r>
    <w:r w:rsidR="004822A5">
      <w:t xml:space="preserve"> </w:t>
    </w:r>
    <w:r w:rsidR="005A0326">
      <w:t xml:space="preserve">– </w:t>
    </w:r>
    <w:r w:rsidR="005A0326" w:rsidRPr="00235E7E">
      <w:t>accessible</w:t>
    </w:r>
    <w:r w:rsidR="005A0326">
      <w:ptab w:relativeTo="margin" w:alignment="right" w:leader="none"/>
    </w:r>
    <w:r w:rsidR="005A0326">
      <w:t xml:space="preserve">Page </w:t>
    </w:r>
    <w:r w:rsidR="005A0326" w:rsidRPr="00DE6C85">
      <w:rPr>
        <w:b/>
        <w:bCs/>
      </w:rPr>
      <w:fldChar w:fldCharType="begin"/>
    </w:r>
    <w:r w:rsidR="005A0326" w:rsidRPr="00DE6C85">
      <w:rPr>
        <w:b/>
        <w:bCs/>
      </w:rPr>
      <w:instrText xml:space="preserve"> PAGE </w:instrText>
    </w:r>
    <w:r w:rsidR="005A0326" w:rsidRPr="00DE6C85">
      <w:rPr>
        <w:b/>
        <w:bCs/>
      </w:rPr>
      <w:fldChar w:fldCharType="separate"/>
    </w:r>
    <w:r w:rsidR="005A0326">
      <w:rPr>
        <w:b/>
        <w:bCs/>
      </w:rPr>
      <w:t>3</w:t>
    </w:r>
    <w:r w:rsidR="005A0326" w:rsidRPr="00DE6C85">
      <w:rPr>
        <w:b/>
        <w:bCs/>
      </w:rPr>
      <w:fldChar w:fldCharType="end"/>
    </w:r>
  </w:p>
  <w:p w14:paraId="4FDFAA66" w14:textId="01B3B8DC" w:rsidR="00B91EAC" w:rsidRDefault="00B91EAC" w:rsidP="00FD0C95">
    <w:pPr>
      <w:pStyle w:val="VDWC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1B30" w14:textId="65F09BFA" w:rsidR="00B91EAC" w:rsidRDefault="009E71DD" w:rsidP="009E71DD">
    <w:pPr>
      <w:pStyle w:val="Header"/>
    </w:pPr>
    <w:r>
      <w:t xml:space="preserve">Victorian Disability Worker Commission and Disability Worker Registration Board of Victoria </w:t>
    </w:r>
    <w:r>
      <w:br/>
    </w:r>
    <w:r w:rsidR="00A66961">
      <w:t>Corporate plan</w:t>
    </w:r>
    <w:r w:rsidR="004822A5">
      <w:t xml:space="preserve"> </w:t>
    </w:r>
    <w:r>
      <w:t xml:space="preserve">– </w:t>
    </w:r>
    <w:r w:rsidRPr="00235E7E">
      <w:t>accessible</w:t>
    </w:r>
    <w:r>
      <w:ptab w:relativeTo="margin" w:alignment="right" w:leader="none"/>
    </w:r>
    <w:r>
      <w:t xml:space="preserve">Page </w:t>
    </w:r>
    <w:r w:rsidRPr="00DE6C85">
      <w:rPr>
        <w:b/>
        <w:bCs/>
      </w:rPr>
      <w:fldChar w:fldCharType="begin"/>
    </w:r>
    <w:r w:rsidRPr="00DE6C85">
      <w:rPr>
        <w:b/>
        <w:bCs/>
      </w:rPr>
      <w:instrText xml:space="preserve"> PAGE </w:instrText>
    </w:r>
    <w:r w:rsidRPr="00DE6C85">
      <w:rPr>
        <w:b/>
        <w:bCs/>
      </w:rPr>
      <w:fldChar w:fldCharType="separate"/>
    </w:r>
    <w:r>
      <w:rPr>
        <w:b/>
        <w:bCs/>
      </w:rPr>
      <w:t>2</w:t>
    </w:r>
    <w:r w:rsidRPr="00DE6C85">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DF1F4" w14:textId="77777777" w:rsidR="00754804" w:rsidRDefault="00754804">
      <w:r>
        <w:separator/>
      </w:r>
    </w:p>
  </w:footnote>
  <w:footnote w:type="continuationSeparator" w:id="0">
    <w:p w14:paraId="512D57DE" w14:textId="77777777" w:rsidR="00754804" w:rsidRDefault="00754804">
      <w:r>
        <w:continuationSeparator/>
      </w:r>
    </w:p>
  </w:footnote>
  <w:footnote w:type="continuationNotice" w:id="1">
    <w:p w14:paraId="7322D6D4" w14:textId="77777777" w:rsidR="00754804" w:rsidRDefault="00754804"/>
  </w:footnote>
  <w:footnote w:id="2">
    <w:p w14:paraId="49584755" w14:textId="0EFA9F71" w:rsidR="00694779" w:rsidRDefault="00694779">
      <w:pPr>
        <w:pStyle w:val="FootnoteText"/>
        <w:rPr>
          <w:lang w:eastAsia="en-AU"/>
        </w:rPr>
      </w:pPr>
      <w:r w:rsidRPr="00694779">
        <w:footnoteRef/>
      </w:r>
      <w:r w:rsidRPr="00694779">
        <w:t xml:space="preserve"> </w:t>
      </w:r>
      <w:r w:rsidRPr="00694779">
        <w:rPr>
          <w:lang w:eastAsia="en-AU"/>
        </w:rPr>
        <w:t xml:space="preserve">Australian Bureau of Statistics 2018, </w:t>
      </w:r>
      <w:r w:rsidRPr="00694779">
        <w:rPr>
          <w:i/>
          <w:iCs/>
          <w:lang w:eastAsia="en-AU"/>
        </w:rPr>
        <w:t>Disability, ageing and carers, Australia: summary of findings</w:t>
      </w:r>
      <w:r w:rsidRPr="00694779">
        <w:rPr>
          <w:lang w:eastAsia="en-AU"/>
        </w:rPr>
        <w:t xml:space="preserve">, Australian Government, Canberra, cited in Department of Families, Fairness and Housing 2022, </w:t>
      </w:r>
      <w:r w:rsidRPr="00694779">
        <w:rPr>
          <w:i/>
          <w:iCs/>
          <w:lang w:eastAsia="en-AU"/>
        </w:rPr>
        <w:t>Inclusive Victoria: state disability plan 2022–26</w:t>
      </w:r>
      <w:r w:rsidRPr="00694779">
        <w:rPr>
          <w:lang w:eastAsia="en-AU"/>
        </w:rPr>
        <w:t>, State of Victoria, Melbourne, p 12</w:t>
      </w:r>
    </w:p>
  </w:footnote>
  <w:footnote w:id="3">
    <w:p w14:paraId="3E52834C" w14:textId="616D6035" w:rsidR="00236889" w:rsidRDefault="00236889">
      <w:pPr>
        <w:pStyle w:val="FootnoteText"/>
      </w:pPr>
      <w:r w:rsidRPr="00236889">
        <w:rPr>
          <w:rStyle w:val="FootnoteReference"/>
          <w:vertAlign w:val="baseline"/>
        </w:rPr>
        <w:footnoteRef/>
      </w:r>
      <w:r w:rsidRPr="00236889">
        <w:t xml:space="preserve"> Australian Institute of Health and Welfare 2020, People with disability Australia, Australian Government, Canberra.</w:t>
      </w:r>
    </w:p>
  </w:footnote>
  <w:footnote w:id="4">
    <w:p w14:paraId="4B61D0C4" w14:textId="004CFCD1" w:rsidR="00DD4FFC" w:rsidRPr="00DD4FFC" w:rsidRDefault="00DD4FFC" w:rsidP="00DD4FFC">
      <w:pPr>
        <w:pStyle w:val="FootnoteText"/>
      </w:pPr>
      <w:r w:rsidRPr="00DD4FFC">
        <w:rPr>
          <w:rStyle w:val="FootnoteReference"/>
          <w:vertAlign w:val="baseline"/>
        </w:rPr>
        <w:footnoteRef/>
      </w:r>
      <w:r w:rsidRPr="00DD4FFC">
        <w:t xml:space="preserve"> Australian Bureau of Statistics 2018, Disability, ageing and carers, Australia: summary of findings, Australian Government, Canberra.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ACF83" w14:textId="77777777" w:rsidR="000765D4" w:rsidRPr="005A0326" w:rsidRDefault="000765D4" w:rsidP="005A03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77DCB252"/>
    <w:styleLink w:val="ZZNumbersloweralpha"/>
    <w:lvl w:ilvl="0">
      <w:start w:val="1"/>
      <w:numFmt w:val="lowerLetter"/>
      <w:pStyle w:val="VDWCnumberloweralpha"/>
      <w:lvlText w:val="(%1)"/>
      <w:lvlJc w:val="left"/>
      <w:pPr>
        <w:tabs>
          <w:tab w:val="num" w:pos="397"/>
        </w:tabs>
        <w:ind w:left="397" w:hanging="397"/>
      </w:pPr>
      <w:rPr>
        <w:rFonts w:hint="default"/>
      </w:rPr>
    </w:lvl>
    <w:lvl w:ilvl="1">
      <w:start w:val="1"/>
      <w:numFmt w:val="lowerLetter"/>
      <w:pStyle w:val="VDW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F761D17"/>
    <w:multiLevelType w:val="hybridMultilevel"/>
    <w:tmpl w:val="6026FE8C"/>
    <w:lvl w:ilvl="0" w:tplc="D576C770">
      <w:start w:val="1"/>
      <w:numFmt w:val="bullet"/>
      <w:pStyle w:val="Table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3230D2"/>
    <w:multiLevelType w:val="hybridMultilevel"/>
    <w:tmpl w:val="E3D0663C"/>
    <w:lvl w:ilvl="0" w:tplc="3EBC1FCA">
      <w:start w:val="1"/>
      <w:numFmt w:val="bullet"/>
      <w:pStyle w:val="Bullet1"/>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3B73697"/>
    <w:multiLevelType w:val="multilevel"/>
    <w:tmpl w:val="D6EEEA92"/>
    <w:styleLink w:val="ZZNumbersdigit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5A0B23"/>
    <w:multiLevelType w:val="hybridMultilevel"/>
    <w:tmpl w:val="F7D65764"/>
    <w:lvl w:ilvl="0" w:tplc="33BE7A82">
      <w:start w:val="1"/>
      <w:numFmt w:val="bullet"/>
      <w:pStyle w:val="VDWCtablebullettick"/>
      <w:lvlText w:val="ü"/>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6C68D4"/>
    <w:multiLevelType w:val="multilevel"/>
    <w:tmpl w:val="0A1E7498"/>
    <w:styleLink w:val="ZZBullets1"/>
    <w:lvl w:ilvl="0">
      <w:start w:val="1"/>
      <w:numFmt w:val="decimal"/>
      <w:pStyle w:val="VDWCnumberdigit"/>
      <w:lvlText w:val="%1."/>
      <w:lvlJc w:val="left"/>
      <w:pPr>
        <w:tabs>
          <w:tab w:val="num" w:pos="397"/>
        </w:tabs>
        <w:ind w:left="397" w:hanging="397"/>
      </w:pPr>
      <w:rPr>
        <w:rFonts w:hint="default"/>
      </w:rPr>
    </w:lvl>
    <w:lvl w:ilvl="1">
      <w:start w:val="1"/>
      <w:numFmt w:val="decimal"/>
      <w:pStyle w:val="VDWCnumberdigitindent"/>
      <w:lvlText w:val="%2."/>
      <w:lvlJc w:val="left"/>
      <w:pPr>
        <w:tabs>
          <w:tab w:val="num" w:pos="794"/>
        </w:tabs>
        <w:ind w:left="794" w:hanging="397"/>
      </w:pPr>
      <w:rPr>
        <w:rFonts w:hint="default"/>
      </w:rPr>
    </w:lvl>
    <w:lvl w:ilvl="2">
      <w:start w:val="1"/>
      <w:numFmt w:val="bullet"/>
      <w:lvlRestart w:val="0"/>
      <w:pStyle w:val="VDWCbulletafternumbers1"/>
      <w:lvlText w:val="•"/>
      <w:lvlJc w:val="left"/>
      <w:pPr>
        <w:ind w:left="794" w:hanging="397"/>
      </w:pPr>
      <w:rPr>
        <w:rFonts w:ascii="Calibri" w:hAnsi="Calibri" w:hint="default"/>
        <w:color w:val="auto"/>
      </w:rPr>
    </w:lvl>
    <w:lvl w:ilvl="3">
      <w:start w:val="1"/>
      <w:numFmt w:val="bullet"/>
      <w:lvlRestart w:val="0"/>
      <w:pStyle w:val="VDWC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2A4E78D8"/>
    <w:styleLink w:val="ZZNumberslowerroman"/>
    <w:lvl w:ilvl="0">
      <w:start w:val="1"/>
      <w:numFmt w:val="lowerRoman"/>
      <w:pStyle w:val="VDWCnumberlowerroman"/>
      <w:lvlText w:val="(%1)"/>
      <w:lvlJc w:val="left"/>
      <w:pPr>
        <w:tabs>
          <w:tab w:val="num" w:pos="397"/>
        </w:tabs>
        <w:ind w:left="397" w:hanging="397"/>
      </w:pPr>
      <w:rPr>
        <w:rFonts w:hint="default"/>
      </w:rPr>
    </w:lvl>
    <w:lvl w:ilvl="1">
      <w:start w:val="1"/>
      <w:numFmt w:val="lowerRoman"/>
      <w:pStyle w:val="VDW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4B4D0DAF"/>
    <w:multiLevelType w:val="multilevel"/>
    <w:tmpl w:val="46464098"/>
    <w:styleLink w:val="ZZQuotebullets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41611C2"/>
    <w:multiLevelType w:val="multilevel"/>
    <w:tmpl w:val="B632211E"/>
    <w:styleLink w:val="ZZTablebullets"/>
    <w:lvl w:ilvl="0">
      <w:start w:val="1"/>
      <w:numFmt w:val="bullet"/>
      <w:pStyle w:val="VDWCtablebullet1"/>
      <w:lvlText w:val="•"/>
      <w:lvlJc w:val="left"/>
      <w:pPr>
        <w:ind w:left="227" w:hanging="227"/>
      </w:pPr>
      <w:rPr>
        <w:rFonts w:ascii="Calibri" w:hAnsi="Calibri" w:hint="default"/>
      </w:rPr>
    </w:lvl>
    <w:lvl w:ilvl="1">
      <w:start w:val="1"/>
      <w:numFmt w:val="bullet"/>
      <w:lvlRestart w:val="0"/>
      <w:pStyle w:val="VDWC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BA1E5A"/>
    <w:multiLevelType w:val="multilevel"/>
    <w:tmpl w:val="6DDAA9AA"/>
    <w:styleLink w:val="ZZBullets"/>
    <w:lvl w:ilvl="0">
      <w:start w:val="1"/>
      <w:numFmt w:val="bullet"/>
      <w:pStyle w:val="VDWCbullet1"/>
      <w:lvlText w:val="•"/>
      <w:lvlJc w:val="left"/>
      <w:pPr>
        <w:ind w:left="284" w:hanging="284"/>
      </w:pPr>
      <w:rPr>
        <w:rFonts w:ascii="Calibri" w:hAnsi="Calibri" w:hint="default"/>
      </w:rPr>
    </w:lvl>
    <w:lvl w:ilvl="1">
      <w:start w:val="1"/>
      <w:numFmt w:val="bullet"/>
      <w:lvlRestart w:val="0"/>
      <w:pStyle w:val="VDWC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6309259F"/>
    <w:multiLevelType w:val="multilevel"/>
    <w:tmpl w:val="13AC0B34"/>
    <w:styleLink w:val="ZZQuotebullets"/>
    <w:lvl w:ilvl="0">
      <w:start w:val="1"/>
      <w:numFmt w:val="bullet"/>
      <w:pStyle w:val="VDWCquotebullet1"/>
      <w:lvlText w:val="•"/>
      <w:lvlJc w:val="left"/>
      <w:pPr>
        <w:ind w:left="680" w:hanging="283"/>
      </w:pPr>
      <w:rPr>
        <w:rFonts w:ascii="Calibri" w:hAnsi="Calibri" w:hint="default"/>
        <w:color w:val="auto"/>
      </w:rPr>
    </w:lvl>
    <w:lvl w:ilvl="1">
      <w:start w:val="1"/>
      <w:numFmt w:val="bullet"/>
      <w:lvlRestart w:val="0"/>
      <w:pStyle w:val="VDWC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5E07F4E"/>
    <w:multiLevelType w:val="multilevel"/>
    <w:tmpl w:val="33E085CA"/>
    <w:styleLink w:val="ZZNumberslowerroman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5E83FAA"/>
    <w:multiLevelType w:val="multilevel"/>
    <w:tmpl w:val="4886AEA4"/>
    <w:styleLink w:val="CurrentList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 w15:restartNumberingAfterBreak="0">
    <w:nsid w:val="6B2C465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0C916E9"/>
    <w:multiLevelType w:val="hybridMultilevel"/>
    <w:tmpl w:val="28E08214"/>
    <w:styleLink w:val="ZZTablebullets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D395631"/>
    <w:multiLevelType w:val="multilevel"/>
    <w:tmpl w:val="B246AC1A"/>
    <w:styleLink w:val="ZZNumbersloweralpha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E985F3B"/>
    <w:multiLevelType w:val="hybridMultilevel"/>
    <w:tmpl w:val="24AC4ECC"/>
    <w:lvl w:ilvl="0" w:tplc="85C8DF3A">
      <w:start w:val="1"/>
      <w:numFmt w:val="none"/>
      <w:pStyle w:val="1Numberdigitrestart"/>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17907431">
    <w:abstractNumId w:val="9"/>
  </w:num>
  <w:num w:numId="2" w16cid:durableId="1465928201">
    <w:abstractNumId w:val="5"/>
  </w:num>
  <w:num w:numId="3" w16cid:durableId="1961036659">
    <w:abstractNumId w:val="0"/>
  </w:num>
  <w:num w:numId="4" w16cid:durableId="1211845559">
    <w:abstractNumId w:val="6"/>
  </w:num>
  <w:num w:numId="5" w16cid:durableId="1523590114">
    <w:abstractNumId w:val="10"/>
  </w:num>
  <w:num w:numId="6" w16cid:durableId="1891571322">
    <w:abstractNumId w:val="8"/>
  </w:num>
  <w:num w:numId="7" w16cid:durableId="378626560">
    <w:abstractNumId w:val="3"/>
  </w:num>
  <w:num w:numId="8" w16cid:durableId="930813946">
    <w:abstractNumId w:val="15"/>
  </w:num>
  <w:num w:numId="9" w16cid:durableId="1993220419">
    <w:abstractNumId w:val="11"/>
  </w:num>
  <w:num w:numId="10" w16cid:durableId="1047069645">
    <w:abstractNumId w:val="7"/>
  </w:num>
  <w:num w:numId="11" w16cid:durableId="763918550">
    <w:abstractNumId w:val="14"/>
  </w:num>
  <w:num w:numId="12" w16cid:durableId="560530245">
    <w:abstractNumId w:val="13"/>
  </w:num>
  <w:num w:numId="13" w16cid:durableId="971904621">
    <w:abstractNumId w:val="16"/>
  </w:num>
  <w:num w:numId="14" w16cid:durableId="1653289130">
    <w:abstractNumId w:val="1"/>
  </w:num>
  <w:num w:numId="15" w16cid:durableId="1779833754">
    <w:abstractNumId w:val="2"/>
  </w:num>
  <w:num w:numId="16" w16cid:durableId="516432862">
    <w:abstractNumId w:val="12"/>
  </w:num>
  <w:num w:numId="17" w16cid:durableId="536088524">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6A7"/>
    <w:rsid w:val="00001003"/>
    <w:rsid w:val="0000211C"/>
    <w:rsid w:val="00002990"/>
    <w:rsid w:val="0000469C"/>
    <w:rsid w:val="000048AC"/>
    <w:rsid w:val="00004CDB"/>
    <w:rsid w:val="00005CB8"/>
    <w:rsid w:val="0000641F"/>
    <w:rsid w:val="000067A2"/>
    <w:rsid w:val="00011BC8"/>
    <w:rsid w:val="00012563"/>
    <w:rsid w:val="00014FC4"/>
    <w:rsid w:val="00017BD5"/>
    <w:rsid w:val="00020AAB"/>
    <w:rsid w:val="00021D11"/>
    <w:rsid w:val="00022036"/>
    <w:rsid w:val="000223A4"/>
    <w:rsid w:val="00022E60"/>
    <w:rsid w:val="00026C19"/>
    <w:rsid w:val="000272D4"/>
    <w:rsid w:val="00027510"/>
    <w:rsid w:val="00031263"/>
    <w:rsid w:val="000329DC"/>
    <w:rsid w:val="00033618"/>
    <w:rsid w:val="00033A2A"/>
    <w:rsid w:val="00034CF8"/>
    <w:rsid w:val="00035CBD"/>
    <w:rsid w:val="000400C8"/>
    <w:rsid w:val="00040D4D"/>
    <w:rsid w:val="000425B8"/>
    <w:rsid w:val="0004297F"/>
    <w:rsid w:val="0004308E"/>
    <w:rsid w:val="00043954"/>
    <w:rsid w:val="00043AAF"/>
    <w:rsid w:val="00044A78"/>
    <w:rsid w:val="00047111"/>
    <w:rsid w:val="00047590"/>
    <w:rsid w:val="00047989"/>
    <w:rsid w:val="00050715"/>
    <w:rsid w:val="00051012"/>
    <w:rsid w:val="000518AB"/>
    <w:rsid w:val="00053EA6"/>
    <w:rsid w:val="00053F95"/>
    <w:rsid w:val="0005587D"/>
    <w:rsid w:val="00055B60"/>
    <w:rsid w:val="000561B3"/>
    <w:rsid w:val="00056F4C"/>
    <w:rsid w:val="00060E93"/>
    <w:rsid w:val="00063769"/>
    <w:rsid w:val="00064197"/>
    <w:rsid w:val="00064338"/>
    <w:rsid w:val="00064936"/>
    <w:rsid w:val="00065664"/>
    <w:rsid w:val="00065F79"/>
    <w:rsid w:val="00070E2B"/>
    <w:rsid w:val="00071A89"/>
    <w:rsid w:val="00072B92"/>
    <w:rsid w:val="000734F8"/>
    <w:rsid w:val="00073656"/>
    <w:rsid w:val="000736B8"/>
    <w:rsid w:val="00073BF3"/>
    <w:rsid w:val="0007402E"/>
    <w:rsid w:val="00074448"/>
    <w:rsid w:val="00074C40"/>
    <w:rsid w:val="000765D4"/>
    <w:rsid w:val="000772C2"/>
    <w:rsid w:val="000809CC"/>
    <w:rsid w:val="00081696"/>
    <w:rsid w:val="000817CB"/>
    <w:rsid w:val="00084E20"/>
    <w:rsid w:val="000873EF"/>
    <w:rsid w:val="0009242D"/>
    <w:rsid w:val="000924B8"/>
    <w:rsid w:val="000929DC"/>
    <w:rsid w:val="00094BAC"/>
    <w:rsid w:val="00095BF3"/>
    <w:rsid w:val="00097D33"/>
    <w:rsid w:val="00097DB6"/>
    <w:rsid w:val="000A0B7A"/>
    <w:rsid w:val="000A1282"/>
    <w:rsid w:val="000A1B81"/>
    <w:rsid w:val="000A291F"/>
    <w:rsid w:val="000A4A68"/>
    <w:rsid w:val="000A68E3"/>
    <w:rsid w:val="000A7998"/>
    <w:rsid w:val="000A7C64"/>
    <w:rsid w:val="000B0D61"/>
    <w:rsid w:val="000B2572"/>
    <w:rsid w:val="000B2764"/>
    <w:rsid w:val="000B3792"/>
    <w:rsid w:val="000B5D84"/>
    <w:rsid w:val="000B62B5"/>
    <w:rsid w:val="000B6AB8"/>
    <w:rsid w:val="000C02FB"/>
    <w:rsid w:val="000C0914"/>
    <w:rsid w:val="000C0A1D"/>
    <w:rsid w:val="000C0A50"/>
    <w:rsid w:val="000C0A63"/>
    <w:rsid w:val="000C0DB3"/>
    <w:rsid w:val="000C0FFE"/>
    <w:rsid w:val="000C1A43"/>
    <w:rsid w:val="000C29DD"/>
    <w:rsid w:val="000C30DD"/>
    <w:rsid w:val="000C449C"/>
    <w:rsid w:val="000C44AF"/>
    <w:rsid w:val="000C4C0F"/>
    <w:rsid w:val="000C5B70"/>
    <w:rsid w:val="000C5D91"/>
    <w:rsid w:val="000C5E38"/>
    <w:rsid w:val="000C6242"/>
    <w:rsid w:val="000C643F"/>
    <w:rsid w:val="000C66A7"/>
    <w:rsid w:val="000C68DB"/>
    <w:rsid w:val="000C6B92"/>
    <w:rsid w:val="000C70EB"/>
    <w:rsid w:val="000C7468"/>
    <w:rsid w:val="000C7C76"/>
    <w:rsid w:val="000D0E83"/>
    <w:rsid w:val="000D212B"/>
    <w:rsid w:val="000D2565"/>
    <w:rsid w:val="000D2C32"/>
    <w:rsid w:val="000D5A36"/>
    <w:rsid w:val="000D6637"/>
    <w:rsid w:val="000D7461"/>
    <w:rsid w:val="000E0E87"/>
    <w:rsid w:val="000E1F35"/>
    <w:rsid w:val="000E2B85"/>
    <w:rsid w:val="000E626A"/>
    <w:rsid w:val="000E6F72"/>
    <w:rsid w:val="000F0478"/>
    <w:rsid w:val="000F04B3"/>
    <w:rsid w:val="000F0A50"/>
    <w:rsid w:val="000F0F6A"/>
    <w:rsid w:val="000F263B"/>
    <w:rsid w:val="000F2DB2"/>
    <w:rsid w:val="000F3FB3"/>
    <w:rsid w:val="000F4277"/>
    <w:rsid w:val="000F5B60"/>
    <w:rsid w:val="000F7CEE"/>
    <w:rsid w:val="000F7DC5"/>
    <w:rsid w:val="00102830"/>
    <w:rsid w:val="00103D5E"/>
    <w:rsid w:val="00104643"/>
    <w:rsid w:val="00104761"/>
    <w:rsid w:val="00104EA7"/>
    <w:rsid w:val="00104FC7"/>
    <w:rsid w:val="00105FAD"/>
    <w:rsid w:val="00106615"/>
    <w:rsid w:val="0010661E"/>
    <w:rsid w:val="00106731"/>
    <w:rsid w:val="001077DD"/>
    <w:rsid w:val="00107847"/>
    <w:rsid w:val="00107EB8"/>
    <w:rsid w:val="00107EEE"/>
    <w:rsid w:val="0011155B"/>
    <w:rsid w:val="00111628"/>
    <w:rsid w:val="00111A6A"/>
    <w:rsid w:val="00112836"/>
    <w:rsid w:val="00112A09"/>
    <w:rsid w:val="001147D8"/>
    <w:rsid w:val="00114EF4"/>
    <w:rsid w:val="0011628C"/>
    <w:rsid w:val="00116FC3"/>
    <w:rsid w:val="0012097F"/>
    <w:rsid w:val="00121BF1"/>
    <w:rsid w:val="00121DE5"/>
    <w:rsid w:val="0012220D"/>
    <w:rsid w:val="00122A01"/>
    <w:rsid w:val="00124E9E"/>
    <w:rsid w:val="00126061"/>
    <w:rsid w:val="00126AA1"/>
    <w:rsid w:val="00127A8B"/>
    <w:rsid w:val="00133F33"/>
    <w:rsid w:val="00134BE5"/>
    <w:rsid w:val="001356AB"/>
    <w:rsid w:val="00137F65"/>
    <w:rsid w:val="001401AC"/>
    <w:rsid w:val="001405B4"/>
    <w:rsid w:val="00141255"/>
    <w:rsid w:val="001412D1"/>
    <w:rsid w:val="001420E2"/>
    <w:rsid w:val="001423E3"/>
    <w:rsid w:val="0014350F"/>
    <w:rsid w:val="00143E90"/>
    <w:rsid w:val="001441FA"/>
    <w:rsid w:val="001454A5"/>
    <w:rsid w:val="00146DEA"/>
    <w:rsid w:val="0014731F"/>
    <w:rsid w:val="001475EA"/>
    <w:rsid w:val="001504F5"/>
    <w:rsid w:val="0015051E"/>
    <w:rsid w:val="001517BD"/>
    <w:rsid w:val="001526D5"/>
    <w:rsid w:val="001542D3"/>
    <w:rsid w:val="00154FED"/>
    <w:rsid w:val="001571A1"/>
    <w:rsid w:val="00160A30"/>
    <w:rsid w:val="00161835"/>
    <w:rsid w:val="00170261"/>
    <w:rsid w:val="00170BB0"/>
    <w:rsid w:val="001722F4"/>
    <w:rsid w:val="0017248D"/>
    <w:rsid w:val="00173626"/>
    <w:rsid w:val="00173912"/>
    <w:rsid w:val="00174ACC"/>
    <w:rsid w:val="0017614A"/>
    <w:rsid w:val="001802B2"/>
    <w:rsid w:val="0018177B"/>
    <w:rsid w:val="001817CD"/>
    <w:rsid w:val="0018235E"/>
    <w:rsid w:val="001834B7"/>
    <w:rsid w:val="0018375C"/>
    <w:rsid w:val="001838EF"/>
    <w:rsid w:val="001841CB"/>
    <w:rsid w:val="00184866"/>
    <w:rsid w:val="001853B7"/>
    <w:rsid w:val="00186D52"/>
    <w:rsid w:val="0018768C"/>
    <w:rsid w:val="00187D69"/>
    <w:rsid w:val="00192BA0"/>
    <w:rsid w:val="00193295"/>
    <w:rsid w:val="00195070"/>
    <w:rsid w:val="00195074"/>
    <w:rsid w:val="001963EF"/>
    <w:rsid w:val="00196B72"/>
    <w:rsid w:val="00197303"/>
    <w:rsid w:val="00197D52"/>
    <w:rsid w:val="001A17EA"/>
    <w:rsid w:val="001A1D17"/>
    <w:rsid w:val="001A22AA"/>
    <w:rsid w:val="001A311B"/>
    <w:rsid w:val="001A39E8"/>
    <w:rsid w:val="001A4914"/>
    <w:rsid w:val="001A63D3"/>
    <w:rsid w:val="001A6D7D"/>
    <w:rsid w:val="001A7A18"/>
    <w:rsid w:val="001B0A86"/>
    <w:rsid w:val="001B1565"/>
    <w:rsid w:val="001B166D"/>
    <w:rsid w:val="001B1DDB"/>
    <w:rsid w:val="001B28B5"/>
    <w:rsid w:val="001B2975"/>
    <w:rsid w:val="001B2A64"/>
    <w:rsid w:val="001B45C7"/>
    <w:rsid w:val="001B6E32"/>
    <w:rsid w:val="001B79B1"/>
    <w:rsid w:val="001B7DCA"/>
    <w:rsid w:val="001C00C0"/>
    <w:rsid w:val="001C041A"/>
    <w:rsid w:val="001C08A9"/>
    <w:rsid w:val="001C122D"/>
    <w:rsid w:val="001C1768"/>
    <w:rsid w:val="001C241F"/>
    <w:rsid w:val="001C2B08"/>
    <w:rsid w:val="001C606D"/>
    <w:rsid w:val="001D2130"/>
    <w:rsid w:val="001D22C8"/>
    <w:rsid w:val="001D2A82"/>
    <w:rsid w:val="001D483B"/>
    <w:rsid w:val="001D4DB9"/>
    <w:rsid w:val="001D52BF"/>
    <w:rsid w:val="001D569B"/>
    <w:rsid w:val="001D6D65"/>
    <w:rsid w:val="001D7C9A"/>
    <w:rsid w:val="001E0365"/>
    <w:rsid w:val="001E0947"/>
    <w:rsid w:val="001E0EA3"/>
    <w:rsid w:val="001E26D3"/>
    <w:rsid w:val="001E2B55"/>
    <w:rsid w:val="001E37C6"/>
    <w:rsid w:val="001E3F3D"/>
    <w:rsid w:val="001E4995"/>
    <w:rsid w:val="001E52AD"/>
    <w:rsid w:val="001E6B6F"/>
    <w:rsid w:val="001E6BEB"/>
    <w:rsid w:val="001E71C0"/>
    <w:rsid w:val="001E7A42"/>
    <w:rsid w:val="001F090C"/>
    <w:rsid w:val="001F09DC"/>
    <w:rsid w:val="001F16C0"/>
    <w:rsid w:val="001F1A00"/>
    <w:rsid w:val="001F3CAD"/>
    <w:rsid w:val="001F3CB7"/>
    <w:rsid w:val="001F43E6"/>
    <w:rsid w:val="001F4E63"/>
    <w:rsid w:val="001F60BC"/>
    <w:rsid w:val="001F6E80"/>
    <w:rsid w:val="00201D1F"/>
    <w:rsid w:val="0020203C"/>
    <w:rsid w:val="002037EC"/>
    <w:rsid w:val="00203CA2"/>
    <w:rsid w:val="002044C0"/>
    <w:rsid w:val="002052AA"/>
    <w:rsid w:val="00206404"/>
    <w:rsid w:val="00206ED0"/>
    <w:rsid w:val="002115C6"/>
    <w:rsid w:val="0021185A"/>
    <w:rsid w:val="00212964"/>
    <w:rsid w:val="002132A2"/>
    <w:rsid w:val="00213772"/>
    <w:rsid w:val="0021424D"/>
    <w:rsid w:val="00214AC1"/>
    <w:rsid w:val="00214B87"/>
    <w:rsid w:val="0021508C"/>
    <w:rsid w:val="00215C20"/>
    <w:rsid w:val="00215D68"/>
    <w:rsid w:val="0021723B"/>
    <w:rsid w:val="00217E00"/>
    <w:rsid w:val="00220749"/>
    <w:rsid w:val="002208DA"/>
    <w:rsid w:val="0022129C"/>
    <w:rsid w:val="00222A51"/>
    <w:rsid w:val="0022422C"/>
    <w:rsid w:val="00224FB1"/>
    <w:rsid w:val="00226006"/>
    <w:rsid w:val="002266E1"/>
    <w:rsid w:val="0022724E"/>
    <w:rsid w:val="00230666"/>
    <w:rsid w:val="002309FC"/>
    <w:rsid w:val="00231153"/>
    <w:rsid w:val="00231261"/>
    <w:rsid w:val="00231BF3"/>
    <w:rsid w:val="002324A7"/>
    <w:rsid w:val="0023252E"/>
    <w:rsid w:val="00233BEF"/>
    <w:rsid w:val="0023552A"/>
    <w:rsid w:val="0023581C"/>
    <w:rsid w:val="00236889"/>
    <w:rsid w:val="0024002F"/>
    <w:rsid w:val="00240D02"/>
    <w:rsid w:val="00241BC0"/>
    <w:rsid w:val="00241C00"/>
    <w:rsid w:val="00241C31"/>
    <w:rsid w:val="002504F7"/>
    <w:rsid w:val="0025341B"/>
    <w:rsid w:val="002536AC"/>
    <w:rsid w:val="00254506"/>
    <w:rsid w:val="0025524F"/>
    <w:rsid w:val="002555D4"/>
    <w:rsid w:val="00255640"/>
    <w:rsid w:val="00255D3C"/>
    <w:rsid w:val="00256E7C"/>
    <w:rsid w:val="00257384"/>
    <w:rsid w:val="00260640"/>
    <w:rsid w:val="0026099A"/>
    <w:rsid w:val="00260C17"/>
    <w:rsid w:val="002664D5"/>
    <w:rsid w:val="002679D5"/>
    <w:rsid w:val="002702BE"/>
    <w:rsid w:val="002714FD"/>
    <w:rsid w:val="00273007"/>
    <w:rsid w:val="00273784"/>
    <w:rsid w:val="00274BD3"/>
    <w:rsid w:val="002753EC"/>
    <w:rsid w:val="0027591F"/>
    <w:rsid w:val="00275F94"/>
    <w:rsid w:val="00277D12"/>
    <w:rsid w:val="00277EF1"/>
    <w:rsid w:val="002809CF"/>
    <w:rsid w:val="00281B9C"/>
    <w:rsid w:val="00282424"/>
    <w:rsid w:val="00283536"/>
    <w:rsid w:val="0028491A"/>
    <w:rsid w:val="00284C9B"/>
    <w:rsid w:val="0028671B"/>
    <w:rsid w:val="002869E3"/>
    <w:rsid w:val="00290E3E"/>
    <w:rsid w:val="002917C8"/>
    <w:rsid w:val="002930B0"/>
    <w:rsid w:val="002940D5"/>
    <w:rsid w:val="002950BE"/>
    <w:rsid w:val="00295E1C"/>
    <w:rsid w:val="0029727D"/>
    <w:rsid w:val="002977C0"/>
    <w:rsid w:val="00297F9E"/>
    <w:rsid w:val="002A05C1"/>
    <w:rsid w:val="002A0C9D"/>
    <w:rsid w:val="002A141B"/>
    <w:rsid w:val="002A26B6"/>
    <w:rsid w:val="002A35EB"/>
    <w:rsid w:val="002A3B4F"/>
    <w:rsid w:val="002A448B"/>
    <w:rsid w:val="002A5CEB"/>
    <w:rsid w:val="002A6531"/>
    <w:rsid w:val="002A6A4E"/>
    <w:rsid w:val="002A767E"/>
    <w:rsid w:val="002B08A7"/>
    <w:rsid w:val="002B0EEE"/>
    <w:rsid w:val="002B109B"/>
    <w:rsid w:val="002B5183"/>
    <w:rsid w:val="002B5A85"/>
    <w:rsid w:val="002B63A7"/>
    <w:rsid w:val="002B6459"/>
    <w:rsid w:val="002B719B"/>
    <w:rsid w:val="002B740B"/>
    <w:rsid w:val="002C171B"/>
    <w:rsid w:val="002C2A64"/>
    <w:rsid w:val="002C2B4D"/>
    <w:rsid w:val="002C32C9"/>
    <w:rsid w:val="002C3DFF"/>
    <w:rsid w:val="002C5543"/>
    <w:rsid w:val="002C58C7"/>
    <w:rsid w:val="002D0F7F"/>
    <w:rsid w:val="002D2637"/>
    <w:rsid w:val="002E0198"/>
    <w:rsid w:val="002E0625"/>
    <w:rsid w:val="002E1D7C"/>
    <w:rsid w:val="002E37B1"/>
    <w:rsid w:val="002E551C"/>
    <w:rsid w:val="002E63B6"/>
    <w:rsid w:val="002E798F"/>
    <w:rsid w:val="002E7DCE"/>
    <w:rsid w:val="002F12F0"/>
    <w:rsid w:val="002F250B"/>
    <w:rsid w:val="002F449B"/>
    <w:rsid w:val="002F4D86"/>
    <w:rsid w:val="002F5D69"/>
    <w:rsid w:val="002F7A04"/>
    <w:rsid w:val="002F7BBD"/>
    <w:rsid w:val="002F7C77"/>
    <w:rsid w:val="002F7DD2"/>
    <w:rsid w:val="00300864"/>
    <w:rsid w:val="00300CB3"/>
    <w:rsid w:val="0030394B"/>
    <w:rsid w:val="0030420E"/>
    <w:rsid w:val="00304B00"/>
    <w:rsid w:val="00305B60"/>
    <w:rsid w:val="00305F6F"/>
    <w:rsid w:val="0030638F"/>
    <w:rsid w:val="003072C6"/>
    <w:rsid w:val="00307B1F"/>
    <w:rsid w:val="00307C49"/>
    <w:rsid w:val="00310D8E"/>
    <w:rsid w:val="003118AA"/>
    <w:rsid w:val="0031397E"/>
    <w:rsid w:val="003144D4"/>
    <w:rsid w:val="00315BBD"/>
    <w:rsid w:val="00316D5B"/>
    <w:rsid w:val="0031753A"/>
    <w:rsid w:val="00320293"/>
    <w:rsid w:val="003207CC"/>
    <w:rsid w:val="00322CC2"/>
    <w:rsid w:val="0032393B"/>
    <w:rsid w:val="00324467"/>
    <w:rsid w:val="003271DC"/>
    <w:rsid w:val="003278D6"/>
    <w:rsid w:val="00331FE0"/>
    <w:rsid w:val="0033223A"/>
    <w:rsid w:val="003329C3"/>
    <w:rsid w:val="00332FA0"/>
    <w:rsid w:val="00334AC7"/>
    <w:rsid w:val="00334B54"/>
    <w:rsid w:val="00335593"/>
    <w:rsid w:val="00335B1D"/>
    <w:rsid w:val="0033739E"/>
    <w:rsid w:val="00337AD9"/>
    <w:rsid w:val="00341D39"/>
    <w:rsid w:val="00343733"/>
    <w:rsid w:val="003465EF"/>
    <w:rsid w:val="00352514"/>
    <w:rsid w:val="003527E7"/>
    <w:rsid w:val="00354BE0"/>
    <w:rsid w:val="00355886"/>
    <w:rsid w:val="003558D7"/>
    <w:rsid w:val="00356814"/>
    <w:rsid w:val="00357A4E"/>
    <w:rsid w:val="00357EBD"/>
    <w:rsid w:val="00363995"/>
    <w:rsid w:val="0036402C"/>
    <w:rsid w:val="00364BB6"/>
    <w:rsid w:val="003676C8"/>
    <w:rsid w:val="00367F93"/>
    <w:rsid w:val="00370897"/>
    <w:rsid w:val="00370D1E"/>
    <w:rsid w:val="00371798"/>
    <w:rsid w:val="003718FF"/>
    <w:rsid w:val="00372471"/>
    <w:rsid w:val="003741AD"/>
    <w:rsid w:val="003766DE"/>
    <w:rsid w:val="00376777"/>
    <w:rsid w:val="00376AB3"/>
    <w:rsid w:val="003778E6"/>
    <w:rsid w:val="00377F92"/>
    <w:rsid w:val="0038019F"/>
    <w:rsid w:val="00382071"/>
    <w:rsid w:val="00382C88"/>
    <w:rsid w:val="003834BC"/>
    <w:rsid w:val="003846E7"/>
    <w:rsid w:val="00385854"/>
    <w:rsid w:val="00386FC4"/>
    <w:rsid w:val="00390B85"/>
    <w:rsid w:val="00393625"/>
    <w:rsid w:val="00396654"/>
    <w:rsid w:val="003A2F25"/>
    <w:rsid w:val="003A4558"/>
    <w:rsid w:val="003A6BBB"/>
    <w:rsid w:val="003B0506"/>
    <w:rsid w:val="003B0CC0"/>
    <w:rsid w:val="003B0F83"/>
    <w:rsid w:val="003B2807"/>
    <w:rsid w:val="003B5D96"/>
    <w:rsid w:val="003C04AA"/>
    <w:rsid w:val="003C0540"/>
    <w:rsid w:val="003C1122"/>
    <w:rsid w:val="003C18D7"/>
    <w:rsid w:val="003C1A21"/>
    <w:rsid w:val="003C2E59"/>
    <w:rsid w:val="003C4567"/>
    <w:rsid w:val="003C5175"/>
    <w:rsid w:val="003C6175"/>
    <w:rsid w:val="003C68F2"/>
    <w:rsid w:val="003C6FE5"/>
    <w:rsid w:val="003D0247"/>
    <w:rsid w:val="003D29FB"/>
    <w:rsid w:val="003D376C"/>
    <w:rsid w:val="003D3EA1"/>
    <w:rsid w:val="003D4A46"/>
    <w:rsid w:val="003D4CF7"/>
    <w:rsid w:val="003D57E7"/>
    <w:rsid w:val="003D58B8"/>
    <w:rsid w:val="003D5CFB"/>
    <w:rsid w:val="003D6EC0"/>
    <w:rsid w:val="003D6EC1"/>
    <w:rsid w:val="003D7C1C"/>
    <w:rsid w:val="003D7F8C"/>
    <w:rsid w:val="003E1534"/>
    <w:rsid w:val="003E208E"/>
    <w:rsid w:val="003E2636"/>
    <w:rsid w:val="003E2E12"/>
    <w:rsid w:val="003E36C9"/>
    <w:rsid w:val="003E562C"/>
    <w:rsid w:val="003E61A9"/>
    <w:rsid w:val="003E65E1"/>
    <w:rsid w:val="003E67EE"/>
    <w:rsid w:val="003E7D44"/>
    <w:rsid w:val="003F10F4"/>
    <w:rsid w:val="003F27D4"/>
    <w:rsid w:val="003F3309"/>
    <w:rsid w:val="003F3439"/>
    <w:rsid w:val="003F357B"/>
    <w:rsid w:val="003F39CE"/>
    <w:rsid w:val="003F45DA"/>
    <w:rsid w:val="003F5076"/>
    <w:rsid w:val="003F69B1"/>
    <w:rsid w:val="003F6F99"/>
    <w:rsid w:val="003F7C99"/>
    <w:rsid w:val="004000DF"/>
    <w:rsid w:val="00401108"/>
    <w:rsid w:val="00402875"/>
    <w:rsid w:val="00402927"/>
    <w:rsid w:val="00404393"/>
    <w:rsid w:val="004046A0"/>
    <w:rsid w:val="00407993"/>
    <w:rsid w:val="00407BA4"/>
    <w:rsid w:val="00407F8A"/>
    <w:rsid w:val="00410AFD"/>
    <w:rsid w:val="0041150A"/>
    <w:rsid w:val="00411833"/>
    <w:rsid w:val="00412F64"/>
    <w:rsid w:val="00413203"/>
    <w:rsid w:val="00413C3E"/>
    <w:rsid w:val="00417237"/>
    <w:rsid w:val="00417BEB"/>
    <w:rsid w:val="00417CC6"/>
    <w:rsid w:val="00422227"/>
    <w:rsid w:val="00422902"/>
    <w:rsid w:val="00423F89"/>
    <w:rsid w:val="00424ACB"/>
    <w:rsid w:val="00426AE5"/>
    <w:rsid w:val="004279F3"/>
    <w:rsid w:val="00427A05"/>
    <w:rsid w:val="00431035"/>
    <w:rsid w:val="004324FF"/>
    <w:rsid w:val="00432A55"/>
    <w:rsid w:val="00433BA2"/>
    <w:rsid w:val="00434880"/>
    <w:rsid w:val="004372B7"/>
    <w:rsid w:val="00440BF2"/>
    <w:rsid w:val="00441908"/>
    <w:rsid w:val="00441BE5"/>
    <w:rsid w:val="0044260A"/>
    <w:rsid w:val="00444D82"/>
    <w:rsid w:val="004451DA"/>
    <w:rsid w:val="004458B8"/>
    <w:rsid w:val="004508CA"/>
    <w:rsid w:val="00452009"/>
    <w:rsid w:val="00452249"/>
    <w:rsid w:val="0045275D"/>
    <w:rsid w:val="00452876"/>
    <w:rsid w:val="004564C6"/>
    <w:rsid w:val="00456A11"/>
    <w:rsid w:val="004610CC"/>
    <w:rsid w:val="00461963"/>
    <w:rsid w:val="00461B02"/>
    <w:rsid w:val="00461C29"/>
    <w:rsid w:val="00462326"/>
    <w:rsid w:val="00464277"/>
    <w:rsid w:val="00464A9D"/>
    <w:rsid w:val="00464D44"/>
    <w:rsid w:val="00465464"/>
    <w:rsid w:val="00465E87"/>
    <w:rsid w:val="004667E5"/>
    <w:rsid w:val="00473F30"/>
    <w:rsid w:val="00475480"/>
    <w:rsid w:val="00475D9A"/>
    <w:rsid w:val="0047611F"/>
    <w:rsid w:val="0047786A"/>
    <w:rsid w:val="00477A65"/>
    <w:rsid w:val="00477C91"/>
    <w:rsid w:val="00477D8A"/>
    <w:rsid w:val="00480ED6"/>
    <w:rsid w:val="0048140C"/>
    <w:rsid w:val="004822A5"/>
    <w:rsid w:val="00482532"/>
    <w:rsid w:val="004827EF"/>
    <w:rsid w:val="00482DB3"/>
    <w:rsid w:val="004832E3"/>
    <w:rsid w:val="0048431E"/>
    <w:rsid w:val="004850D9"/>
    <w:rsid w:val="0048526E"/>
    <w:rsid w:val="004915C1"/>
    <w:rsid w:val="00491948"/>
    <w:rsid w:val="0049200D"/>
    <w:rsid w:val="00492536"/>
    <w:rsid w:val="0049468A"/>
    <w:rsid w:val="004948CA"/>
    <w:rsid w:val="00495EDE"/>
    <w:rsid w:val="00495FD1"/>
    <w:rsid w:val="0049759F"/>
    <w:rsid w:val="004A0236"/>
    <w:rsid w:val="004A10B8"/>
    <w:rsid w:val="004A178B"/>
    <w:rsid w:val="004A369A"/>
    <w:rsid w:val="004A3B3E"/>
    <w:rsid w:val="004A4DB0"/>
    <w:rsid w:val="004A614F"/>
    <w:rsid w:val="004A74A5"/>
    <w:rsid w:val="004B1699"/>
    <w:rsid w:val="004B1CF4"/>
    <w:rsid w:val="004B3E76"/>
    <w:rsid w:val="004B6132"/>
    <w:rsid w:val="004B7E33"/>
    <w:rsid w:val="004C0DEF"/>
    <w:rsid w:val="004C19EB"/>
    <w:rsid w:val="004C2203"/>
    <w:rsid w:val="004C3829"/>
    <w:rsid w:val="004C452C"/>
    <w:rsid w:val="004C5777"/>
    <w:rsid w:val="004C6335"/>
    <w:rsid w:val="004C6BB6"/>
    <w:rsid w:val="004C707E"/>
    <w:rsid w:val="004D0173"/>
    <w:rsid w:val="004D04C2"/>
    <w:rsid w:val="004D07FD"/>
    <w:rsid w:val="004D1056"/>
    <w:rsid w:val="004D286F"/>
    <w:rsid w:val="004D2B7B"/>
    <w:rsid w:val="004D2DAB"/>
    <w:rsid w:val="004D3031"/>
    <w:rsid w:val="004D3577"/>
    <w:rsid w:val="004D4627"/>
    <w:rsid w:val="004D6FDE"/>
    <w:rsid w:val="004D7209"/>
    <w:rsid w:val="004D7B1D"/>
    <w:rsid w:val="004E12E2"/>
    <w:rsid w:val="004E1EDE"/>
    <w:rsid w:val="004E21E2"/>
    <w:rsid w:val="004E26C9"/>
    <w:rsid w:val="004E293F"/>
    <w:rsid w:val="004E380D"/>
    <w:rsid w:val="004E3E25"/>
    <w:rsid w:val="004E4767"/>
    <w:rsid w:val="004E498E"/>
    <w:rsid w:val="004E60CB"/>
    <w:rsid w:val="004E7922"/>
    <w:rsid w:val="004E7FCD"/>
    <w:rsid w:val="004F0797"/>
    <w:rsid w:val="004F08B1"/>
    <w:rsid w:val="004F0DFC"/>
    <w:rsid w:val="004F3441"/>
    <w:rsid w:val="004F41B2"/>
    <w:rsid w:val="004F4A58"/>
    <w:rsid w:val="004F4AFC"/>
    <w:rsid w:val="004F52A5"/>
    <w:rsid w:val="004F5BDC"/>
    <w:rsid w:val="004F6D57"/>
    <w:rsid w:val="004F7C62"/>
    <w:rsid w:val="00500A45"/>
    <w:rsid w:val="00500C8C"/>
    <w:rsid w:val="00501375"/>
    <w:rsid w:val="00501D3B"/>
    <w:rsid w:val="005022C9"/>
    <w:rsid w:val="00502B8F"/>
    <w:rsid w:val="005034A8"/>
    <w:rsid w:val="005065F9"/>
    <w:rsid w:val="0050779D"/>
    <w:rsid w:val="005139EA"/>
    <w:rsid w:val="00513A9B"/>
    <w:rsid w:val="00515BE5"/>
    <w:rsid w:val="005165BC"/>
    <w:rsid w:val="00517372"/>
    <w:rsid w:val="005208F8"/>
    <w:rsid w:val="00520A45"/>
    <w:rsid w:val="00520BBB"/>
    <w:rsid w:val="00522595"/>
    <w:rsid w:val="00524310"/>
    <w:rsid w:val="00525456"/>
    <w:rsid w:val="00530452"/>
    <w:rsid w:val="00530E98"/>
    <w:rsid w:val="00531272"/>
    <w:rsid w:val="00531332"/>
    <w:rsid w:val="00532236"/>
    <w:rsid w:val="00532A34"/>
    <w:rsid w:val="00532D8E"/>
    <w:rsid w:val="005338EA"/>
    <w:rsid w:val="00533FCD"/>
    <w:rsid w:val="005342FF"/>
    <w:rsid w:val="00535BD2"/>
    <w:rsid w:val="0053606C"/>
    <w:rsid w:val="00536C1D"/>
    <w:rsid w:val="00537524"/>
    <w:rsid w:val="00537AAE"/>
    <w:rsid w:val="005409FB"/>
    <w:rsid w:val="00541DFE"/>
    <w:rsid w:val="0054217D"/>
    <w:rsid w:val="00542D56"/>
    <w:rsid w:val="005433AB"/>
    <w:rsid w:val="00543B8F"/>
    <w:rsid w:val="00543E6C"/>
    <w:rsid w:val="00544184"/>
    <w:rsid w:val="005443FA"/>
    <w:rsid w:val="005449D8"/>
    <w:rsid w:val="00546090"/>
    <w:rsid w:val="0055008D"/>
    <w:rsid w:val="00550574"/>
    <w:rsid w:val="00550984"/>
    <w:rsid w:val="00550D6B"/>
    <w:rsid w:val="00551789"/>
    <w:rsid w:val="005528EC"/>
    <w:rsid w:val="00553EA2"/>
    <w:rsid w:val="00553F68"/>
    <w:rsid w:val="005552FD"/>
    <w:rsid w:val="0055718E"/>
    <w:rsid w:val="005600E5"/>
    <w:rsid w:val="00563D33"/>
    <w:rsid w:val="00564E8F"/>
    <w:rsid w:val="0056503B"/>
    <w:rsid w:val="00567889"/>
    <w:rsid w:val="00570819"/>
    <w:rsid w:val="00571051"/>
    <w:rsid w:val="0057209B"/>
    <w:rsid w:val="005727DC"/>
    <w:rsid w:val="005728A4"/>
    <w:rsid w:val="00575474"/>
    <w:rsid w:val="00575F36"/>
    <w:rsid w:val="005763FC"/>
    <w:rsid w:val="00576B88"/>
    <w:rsid w:val="00576EB4"/>
    <w:rsid w:val="00576EE5"/>
    <w:rsid w:val="00577B30"/>
    <w:rsid w:val="00581FFD"/>
    <w:rsid w:val="00582768"/>
    <w:rsid w:val="00582A7D"/>
    <w:rsid w:val="005833E9"/>
    <w:rsid w:val="00583461"/>
    <w:rsid w:val="005856A4"/>
    <w:rsid w:val="00585BD0"/>
    <w:rsid w:val="00585D22"/>
    <w:rsid w:val="0058681C"/>
    <w:rsid w:val="00586DEB"/>
    <w:rsid w:val="00590730"/>
    <w:rsid w:val="00590996"/>
    <w:rsid w:val="00592AB8"/>
    <w:rsid w:val="00593DF7"/>
    <w:rsid w:val="00594FDE"/>
    <w:rsid w:val="00595578"/>
    <w:rsid w:val="00595A7C"/>
    <w:rsid w:val="00596736"/>
    <w:rsid w:val="00596A03"/>
    <w:rsid w:val="00597874"/>
    <w:rsid w:val="005A0326"/>
    <w:rsid w:val="005A3051"/>
    <w:rsid w:val="005A53FE"/>
    <w:rsid w:val="005A5810"/>
    <w:rsid w:val="005B0278"/>
    <w:rsid w:val="005B14E7"/>
    <w:rsid w:val="005B2780"/>
    <w:rsid w:val="005B2BE9"/>
    <w:rsid w:val="005B2C98"/>
    <w:rsid w:val="005B3064"/>
    <w:rsid w:val="005B5657"/>
    <w:rsid w:val="005B7A25"/>
    <w:rsid w:val="005B7D22"/>
    <w:rsid w:val="005C029E"/>
    <w:rsid w:val="005C034F"/>
    <w:rsid w:val="005C049E"/>
    <w:rsid w:val="005C0B6C"/>
    <w:rsid w:val="005C0CF8"/>
    <w:rsid w:val="005C1DC9"/>
    <w:rsid w:val="005C3F87"/>
    <w:rsid w:val="005C51BE"/>
    <w:rsid w:val="005C598C"/>
    <w:rsid w:val="005C6B52"/>
    <w:rsid w:val="005D0AD9"/>
    <w:rsid w:val="005D1CDA"/>
    <w:rsid w:val="005D389C"/>
    <w:rsid w:val="005D617B"/>
    <w:rsid w:val="005D6310"/>
    <w:rsid w:val="005D64E9"/>
    <w:rsid w:val="005D6766"/>
    <w:rsid w:val="005D71A1"/>
    <w:rsid w:val="005D7834"/>
    <w:rsid w:val="005D79AC"/>
    <w:rsid w:val="005E085D"/>
    <w:rsid w:val="005E19F8"/>
    <w:rsid w:val="005E29D5"/>
    <w:rsid w:val="005E3613"/>
    <w:rsid w:val="005E369C"/>
    <w:rsid w:val="005E3FA7"/>
    <w:rsid w:val="005E4E9E"/>
    <w:rsid w:val="005E6813"/>
    <w:rsid w:val="005E7963"/>
    <w:rsid w:val="005F218C"/>
    <w:rsid w:val="005F2F6F"/>
    <w:rsid w:val="005F386D"/>
    <w:rsid w:val="005F4523"/>
    <w:rsid w:val="005F4EAC"/>
    <w:rsid w:val="005F59BE"/>
    <w:rsid w:val="005F623F"/>
    <w:rsid w:val="005F79D5"/>
    <w:rsid w:val="00601D4D"/>
    <w:rsid w:val="006021B4"/>
    <w:rsid w:val="006022E4"/>
    <w:rsid w:val="00605B5B"/>
    <w:rsid w:val="006062D8"/>
    <w:rsid w:val="00606827"/>
    <w:rsid w:val="00606C23"/>
    <w:rsid w:val="00607F84"/>
    <w:rsid w:val="006102AD"/>
    <w:rsid w:val="00610F22"/>
    <w:rsid w:val="0061125B"/>
    <w:rsid w:val="00612446"/>
    <w:rsid w:val="006125ED"/>
    <w:rsid w:val="00612625"/>
    <w:rsid w:val="006137DA"/>
    <w:rsid w:val="00613965"/>
    <w:rsid w:val="00620262"/>
    <w:rsid w:val="00621B4C"/>
    <w:rsid w:val="00621BB4"/>
    <w:rsid w:val="00621E2A"/>
    <w:rsid w:val="0062359E"/>
    <w:rsid w:val="00625BE2"/>
    <w:rsid w:val="00627C52"/>
    <w:rsid w:val="00627D04"/>
    <w:rsid w:val="00630937"/>
    <w:rsid w:val="00630F3F"/>
    <w:rsid w:val="00633AF5"/>
    <w:rsid w:val="00636C8B"/>
    <w:rsid w:val="00637E30"/>
    <w:rsid w:val="00646BFC"/>
    <w:rsid w:val="00653B84"/>
    <w:rsid w:val="00653E0D"/>
    <w:rsid w:val="00654F8C"/>
    <w:rsid w:val="00655923"/>
    <w:rsid w:val="0065722A"/>
    <w:rsid w:val="00660625"/>
    <w:rsid w:val="00660E5E"/>
    <w:rsid w:val="00661178"/>
    <w:rsid w:val="00661DDF"/>
    <w:rsid w:val="00662029"/>
    <w:rsid w:val="00664534"/>
    <w:rsid w:val="0066552F"/>
    <w:rsid w:val="00667EFD"/>
    <w:rsid w:val="00667F4E"/>
    <w:rsid w:val="00672347"/>
    <w:rsid w:val="00673BC2"/>
    <w:rsid w:val="0067451A"/>
    <w:rsid w:val="00675C91"/>
    <w:rsid w:val="00676719"/>
    <w:rsid w:val="00676C8E"/>
    <w:rsid w:val="00676EEA"/>
    <w:rsid w:val="00681959"/>
    <w:rsid w:val="00684364"/>
    <w:rsid w:val="00685914"/>
    <w:rsid w:val="006865C8"/>
    <w:rsid w:val="00686B48"/>
    <w:rsid w:val="00687038"/>
    <w:rsid w:val="0068706A"/>
    <w:rsid w:val="0068714E"/>
    <w:rsid w:val="006872F5"/>
    <w:rsid w:val="00687E15"/>
    <w:rsid w:val="00687F4D"/>
    <w:rsid w:val="00690CBD"/>
    <w:rsid w:val="00691D35"/>
    <w:rsid w:val="006929F7"/>
    <w:rsid w:val="0069374A"/>
    <w:rsid w:val="00693A3E"/>
    <w:rsid w:val="00694779"/>
    <w:rsid w:val="00694AB8"/>
    <w:rsid w:val="00695EF7"/>
    <w:rsid w:val="0069608F"/>
    <w:rsid w:val="0069699D"/>
    <w:rsid w:val="00696F0A"/>
    <w:rsid w:val="006A1BFC"/>
    <w:rsid w:val="006A3A97"/>
    <w:rsid w:val="006A4A4A"/>
    <w:rsid w:val="006A516B"/>
    <w:rsid w:val="006A5BBD"/>
    <w:rsid w:val="006A76E6"/>
    <w:rsid w:val="006B03E4"/>
    <w:rsid w:val="006B2C51"/>
    <w:rsid w:val="006B53B7"/>
    <w:rsid w:val="006B6361"/>
    <w:rsid w:val="006B7C4F"/>
    <w:rsid w:val="006C0386"/>
    <w:rsid w:val="006C1F49"/>
    <w:rsid w:val="006C2020"/>
    <w:rsid w:val="006C4F6D"/>
    <w:rsid w:val="006C62F8"/>
    <w:rsid w:val="006C73C9"/>
    <w:rsid w:val="006D24CE"/>
    <w:rsid w:val="006D360C"/>
    <w:rsid w:val="006D4516"/>
    <w:rsid w:val="006D5259"/>
    <w:rsid w:val="006D5AC9"/>
    <w:rsid w:val="006D66ED"/>
    <w:rsid w:val="006E18C1"/>
    <w:rsid w:val="006E46B3"/>
    <w:rsid w:val="006E5A67"/>
    <w:rsid w:val="006E710F"/>
    <w:rsid w:val="006E7207"/>
    <w:rsid w:val="006E786B"/>
    <w:rsid w:val="006E7AA7"/>
    <w:rsid w:val="006F034C"/>
    <w:rsid w:val="006F13F2"/>
    <w:rsid w:val="006F1592"/>
    <w:rsid w:val="006F3E0E"/>
    <w:rsid w:val="006F4120"/>
    <w:rsid w:val="006F616E"/>
    <w:rsid w:val="007002B1"/>
    <w:rsid w:val="00700939"/>
    <w:rsid w:val="0070139C"/>
    <w:rsid w:val="00702005"/>
    <w:rsid w:val="007020B2"/>
    <w:rsid w:val="007026F3"/>
    <w:rsid w:val="00702704"/>
    <w:rsid w:val="007028A1"/>
    <w:rsid w:val="007040F2"/>
    <w:rsid w:val="00704E36"/>
    <w:rsid w:val="00704EB7"/>
    <w:rsid w:val="00705742"/>
    <w:rsid w:val="007061D5"/>
    <w:rsid w:val="007104FE"/>
    <w:rsid w:val="00711B0C"/>
    <w:rsid w:val="007121A2"/>
    <w:rsid w:val="00712973"/>
    <w:rsid w:val="00712E7E"/>
    <w:rsid w:val="00713981"/>
    <w:rsid w:val="007159E1"/>
    <w:rsid w:val="007176D6"/>
    <w:rsid w:val="00717B56"/>
    <w:rsid w:val="0072154C"/>
    <w:rsid w:val="00723464"/>
    <w:rsid w:val="007256BB"/>
    <w:rsid w:val="00725D2A"/>
    <w:rsid w:val="00726F81"/>
    <w:rsid w:val="00727D54"/>
    <w:rsid w:val="00730355"/>
    <w:rsid w:val="00731EF2"/>
    <w:rsid w:val="007344C5"/>
    <w:rsid w:val="00734959"/>
    <w:rsid w:val="00734D8D"/>
    <w:rsid w:val="00735137"/>
    <w:rsid w:val="0073520D"/>
    <w:rsid w:val="00735EFE"/>
    <w:rsid w:val="0073615E"/>
    <w:rsid w:val="007431EC"/>
    <w:rsid w:val="007440E8"/>
    <w:rsid w:val="007441EA"/>
    <w:rsid w:val="00744242"/>
    <w:rsid w:val="00747DC4"/>
    <w:rsid w:val="00750142"/>
    <w:rsid w:val="0075326F"/>
    <w:rsid w:val="00754341"/>
    <w:rsid w:val="00754804"/>
    <w:rsid w:val="00754F83"/>
    <w:rsid w:val="007572FD"/>
    <w:rsid w:val="00761AA2"/>
    <w:rsid w:val="00761EF3"/>
    <w:rsid w:val="00763357"/>
    <w:rsid w:val="00764184"/>
    <w:rsid w:val="00766570"/>
    <w:rsid w:val="00767E47"/>
    <w:rsid w:val="00770C03"/>
    <w:rsid w:val="00770D6E"/>
    <w:rsid w:val="00771640"/>
    <w:rsid w:val="00771CC1"/>
    <w:rsid w:val="00773ADE"/>
    <w:rsid w:val="007751C6"/>
    <w:rsid w:val="00780226"/>
    <w:rsid w:val="007816B5"/>
    <w:rsid w:val="00781AB4"/>
    <w:rsid w:val="00784E7A"/>
    <w:rsid w:val="00786C07"/>
    <w:rsid w:val="007873B3"/>
    <w:rsid w:val="00787E6A"/>
    <w:rsid w:val="00790BDF"/>
    <w:rsid w:val="007923B7"/>
    <w:rsid w:val="00792616"/>
    <w:rsid w:val="007926BB"/>
    <w:rsid w:val="0079344C"/>
    <w:rsid w:val="00795B58"/>
    <w:rsid w:val="007968AE"/>
    <w:rsid w:val="00797D8E"/>
    <w:rsid w:val="007A014C"/>
    <w:rsid w:val="007A0283"/>
    <w:rsid w:val="007A1D35"/>
    <w:rsid w:val="007A3CA4"/>
    <w:rsid w:val="007A40C0"/>
    <w:rsid w:val="007A43FE"/>
    <w:rsid w:val="007A4962"/>
    <w:rsid w:val="007A51AC"/>
    <w:rsid w:val="007A5EB8"/>
    <w:rsid w:val="007A7296"/>
    <w:rsid w:val="007B256B"/>
    <w:rsid w:val="007B2C7D"/>
    <w:rsid w:val="007B2ECD"/>
    <w:rsid w:val="007B5119"/>
    <w:rsid w:val="007B539D"/>
    <w:rsid w:val="007B54EC"/>
    <w:rsid w:val="007B7329"/>
    <w:rsid w:val="007B796F"/>
    <w:rsid w:val="007C0151"/>
    <w:rsid w:val="007C02C7"/>
    <w:rsid w:val="007C21EE"/>
    <w:rsid w:val="007C404E"/>
    <w:rsid w:val="007C51AD"/>
    <w:rsid w:val="007C6A59"/>
    <w:rsid w:val="007C78A6"/>
    <w:rsid w:val="007D2A39"/>
    <w:rsid w:val="007D3A2E"/>
    <w:rsid w:val="007D3B89"/>
    <w:rsid w:val="007D43A6"/>
    <w:rsid w:val="007D5565"/>
    <w:rsid w:val="007D6652"/>
    <w:rsid w:val="007D7816"/>
    <w:rsid w:val="007D7C38"/>
    <w:rsid w:val="007E08B0"/>
    <w:rsid w:val="007E23B0"/>
    <w:rsid w:val="007E343D"/>
    <w:rsid w:val="007E48C1"/>
    <w:rsid w:val="007E4B0B"/>
    <w:rsid w:val="007E4C95"/>
    <w:rsid w:val="007E65C8"/>
    <w:rsid w:val="007E7E3B"/>
    <w:rsid w:val="007F012C"/>
    <w:rsid w:val="007F1605"/>
    <w:rsid w:val="007F32F2"/>
    <w:rsid w:val="007F35CD"/>
    <w:rsid w:val="007F4383"/>
    <w:rsid w:val="007F46F8"/>
    <w:rsid w:val="007F4CA4"/>
    <w:rsid w:val="007F528C"/>
    <w:rsid w:val="007F5858"/>
    <w:rsid w:val="007F64FD"/>
    <w:rsid w:val="007F6862"/>
    <w:rsid w:val="00800D9C"/>
    <w:rsid w:val="00801601"/>
    <w:rsid w:val="0080169A"/>
    <w:rsid w:val="00802E27"/>
    <w:rsid w:val="008036A7"/>
    <w:rsid w:val="00805FD2"/>
    <w:rsid w:val="0080698F"/>
    <w:rsid w:val="00810301"/>
    <w:rsid w:val="00810991"/>
    <w:rsid w:val="00810F09"/>
    <w:rsid w:val="00811DA7"/>
    <w:rsid w:val="00812468"/>
    <w:rsid w:val="00814A9B"/>
    <w:rsid w:val="00814F66"/>
    <w:rsid w:val="00817596"/>
    <w:rsid w:val="008176C5"/>
    <w:rsid w:val="00817C9E"/>
    <w:rsid w:val="008205AF"/>
    <w:rsid w:val="00822041"/>
    <w:rsid w:val="00822100"/>
    <w:rsid w:val="00822115"/>
    <w:rsid w:val="008225E5"/>
    <w:rsid w:val="00822846"/>
    <w:rsid w:val="00823E36"/>
    <w:rsid w:val="0082575E"/>
    <w:rsid w:val="00825A74"/>
    <w:rsid w:val="008262A2"/>
    <w:rsid w:val="0083037C"/>
    <w:rsid w:val="00831053"/>
    <w:rsid w:val="0083147A"/>
    <w:rsid w:val="008314D2"/>
    <w:rsid w:val="00832053"/>
    <w:rsid w:val="0083254D"/>
    <w:rsid w:val="00832E06"/>
    <w:rsid w:val="00833B9E"/>
    <w:rsid w:val="008352FC"/>
    <w:rsid w:val="00836249"/>
    <w:rsid w:val="00836F00"/>
    <w:rsid w:val="008376CC"/>
    <w:rsid w:val="00837C02"/>
    <w:rsid w:val="00842A76"/>
    <w:rsid w:val="00845AEC"/>
    <w:rsid w:val="00846192"/>
    <w:rsid w:val="008473F6"/>
    <w:rsid w:val="00847D6B"/>
    <w:rsid w:val="008500E3"/>
    <w:rsid w:val="008505D7"/>
    <w:rsid w:val="00850806"/>
    <w:rsid w:val="00850D1C"/>
    <w:rsid w:val="00852E6A"/>
    <w:rsid w:val="008548F8"/>
    <w:rsid w:val="00855FB4"/>
    <w:rsid w:val="00856A1B"/>
    <w:rsid w:val="00856CBF"/>
    <w:rsid w:val="00860D7D"/>
    <w:rsid w:val="0086163B"/>
    <w:rsid w:val="008621C3"/>
    <w:rsid w:val="00864D5B"/>
    <w:rsid w:val="00865486"/>
    <w:rsid w:val="008654BA"/>
    <w:rsid w:val="0086658F"/>
    <w:rsid w:val="008669BE"/>
    <w:rsid w:val="00866ADC"/>
    <w:rsid w:val="00866DA1"/>
    <w:rsid w:val="00867DB4"/>
    <w:rsid w:val="0087110F"/>
    <w:rsid w:val="008717A5"/>
    <w:rsid w:val="0087302C"/>
    <w:rsid w:val="0087362A"/>
    <w:rsid w:val="008747B8"/>
    <w:rsid w:val="00874A69"/>
    <w:rsid w:val="008753AB"/>
    <w:rsid w:val="00876275"/>
    <w:rsid w:val="008768A2"/>
    <w:rsid w:val="00877FC2"/>
    <w:rsid w:val="00880058"/>
    <w:rsid w:val="00880AC2"/>
    <w:rsid w:val="0088146A"/>
    <w:rsid w:val="00882069"/>
    <w:rsid w:val="0088217A"/>
    <w:rsid w:val="00882B99"/>
    <w:rsid w:val="00883B8E"/>
    <w:rsid w:val="00884E8F"/>
    <w:rsid w:val="00885521"/>
    <w:rsid w:val="00886121"/>
    <w:rsid w:val="00892AB2"/>
    <w:rsid w:val="00892AC2"/>
    <w:rsid w:val="00893570"/>
    <w:rsid w:val="00894EFB"/>
    <w:rsid w:val="00896C19"/>
    <w:rsid w:val="008A2738"/>
    <w:rsid w:val="008A295B"/>
    <w:rsid w:val="008A2DD3"/>
    <w:rsid w:val="008A4207"/>
    <w:rsid w:val="008A4C07"/>
    <w:rsid w:val="008A5B97"/>
    <w:rsid w:val="008A6604"/>
    <w:rsid w:val="008A6C76"/>
    <w:rsid w:val="008B0E60"/>
    <w:rsid w:val="008B0F15"/>
    <w:rsid w:val="008B1C73"/>
    <w:rsid w:val="008B2186"/>
    <w:rsid w:val="008B2776"/>
    <w:rsid w:val="008B3B07"/>
    <w:rsid w:val="008B4211"/>
    <w:rsid w:val="008B51A2"/>
    <w:rsid w:val="008B5482"/>
    <w:rsid w:val="008B5AAC"/>
    <w:rsid w:val="008B5FBD"/>
    <w:rsid w:val="008B6239"/>
    <w:rsid w:val="008B65F2"/>
    <w:rsid w:val="008B6E0D"/>
    <w:rsid w:val="008B7362"/>
    <w:rsid w:val="008C11F4"/>
    <w:rsid w:val="008C1DF5"/>
    <w:rsid w:val="008C1EA0"/>
    <w:rsid w:val="008C2BEC"/>
    <w:rsid w:val="008C4645"/>
    <w:rsid w:val="008C4C68"/>
    <w:rsid w:val="008C4F1C"/>
    <w:rsid w:val="008C6523"/>
    <w:rsid w:val="008C6CD6"/>
    <w:rsid w:val="008C6D0E"/>
    <w:rsid w:val="008C70B8"/>
    <w:rsid w:val="008C7FE8"/>
    <w:rsid w:val="008D0231"/>
    <w:rsid w:val="008D09D2"/>
    <w:rsid w:val="008D0DCE"/>
    <w:rsid w:val="008D1DD0"/>
    <w:rsid w:val="008D39C5"/>
    <w:rsid w:val="008D3D6E"/>
    <w:rsid w:val="008D57AA"/>
    <w:rsid w:val="008D747B"/>
    <w:rsid w:val="008E0008"/>
    <w:rsid w:val="008E03EC"/>
    <w:rsid w:val="008E0DE9"/>
    <w:rsid w:val="008E136E"/>
    <w:rsid w:val="008E15A1"/>
    <w:rsid w:val="008E1D89"/>
    <w:rsid w:val="008E276A"/>
    <w:rsid w:val="008E2DE1"/>
    <w:rsid w:val="008E3D6C"/>
    <w:rsid w:val="008E3E3E"/>
    <w:rsid w:val="008E4D7F"/>
    <w:rsid w:val="008E5FC5"/>
    <w:rsid w:val="008E72EA"/>
    <w:rsid w:val="008F0125"/>
    <w:rsid w:val="008F1110"/>
    <w:rsid w:val="008F4046"/>
    <w:rsid w:val="008F4D2E"/>
    <w:rsid w:val="008F50F0"/>
    <w:rsid w:val="008F5F87"/>
    <w:rsid w:val="008F6593"/>
    <w:rsid w:val="008F69FC"/>
    <w:rsid w:val="008F719F"/>
    <w:rsid w:val="008F7C1B"/>
    <w:rsid w:val="0090011D"/>
    <w:rsid w:val="00900A34"/>
    <w:rsid w:val="00901423"/>
    <w:rsid w:val="00902076"/>
    <w:rsid w:val="00903D17"/>
    <w:rsid w:val="00904039"/>
    <w:rsid w:val="00906132"/>
    <w:rsid w:val="00906AED"/>
    <w:rsid w:val="00907073"/>
    <w:rsid w:val="0090731F"/>
    <w:rsid w:val="0090784E"/>
    <w:rsid w:val="009101E1"/>
    <w:rsid w:val="00910A8D"/>
    <w:rsid w:val="00911845"/>
    <w:rsid w:val="00912D39"/>
    <w:rsid w:val="00913736"/>
    <w:rsid w:val="00915696"/>
    <w:rsid w:val="009208F5"/>
    <w:rsid w:val="00921D0E"/>
    <w:rsid w:val="0092370C"/>
    <w:rsid w:val="009239A1"/>
    <w:rsid w:val="00925258"/>
    <w:rsid w:val="0092647A"/>
    <w:rsid w:val="00927A59"/>
    <w:rsid w:val="00927D51"/>
    <w:rsid w:val="00932272"/>
    <w:rsid w:val="00932862"/>
    <w:rsid w:val="00933308"/>
    <w:rsid w:val="009334F1"/>
    <w:rsid w:val="00933BD7"/>
    <w:rsid w:val="00935868"/>
    <w:rsid w:val="00935D60"/>
    <w:rsid w:val="009360B6"/>
    <w:rsid w:val="0093710F"/>
    <w:rsid w:val="0094358D"/>
    <w:rsid w:val="009438E5"/>
    <w:rsid w:val="009447BB"/>
    <w:rsid w:val="00944C48"/>
    <w:rsid w:val="00944EAD"/>
    <w:rsid w:val="00944ED0"/>
    <w:rsid w:val="00946335"/>
    <w:rsid w:val="009513C4"/>
    <w:rsid w:val="009516E7"/>
    <w:rsid w:val="00951F8E"/>
    <w:rsid w:val="0095418F"/>
    <w:rsid w:val="00954854"/>
    <w:rsid w:val="00955E55"/>
    <w:rsid w:val="009567C5"/>
    <w:rsid w:val="00961C7C"/>
    <w:rsid w:val="00962200"/>
    <w:rsid w:val="00963E72"/>
    <w:rsid w:val="009646C2"/>
    <w:rsid w:val="00964C53"/>
    <w:rsid w:val="009659CD"/>
    <w:rsid w:val="00966F54"/>
    <w:rsid w:val="00967539"/>
    <w:rsid w:val="00967B39"/>
    <w:rsid w:val="0097191B"/>
    <w:rsid w:val="0097215F"/>
    <w:rsid w:val="00974421"/>
    <w:rsid w:val="00975CBB"/>
    <w:rsid w:val="00975E61"/>
    <w:rsid w:val="00975F49"/>
    <w:rsid w:val="00976E31"/>
    <w:rsid w:val="00977C63"/>
    <w:rsid w:val="00980087"/>
    <w:rsid w:val="00980C0B"/>
    <w:rsid w:val="00980D78"/>
    <w:rsid w:val="009814F1"/>
    <w:rsid w:val="00981C80"/>
    <w:rsid w:val="00982244"/>
    <w:rsid w:val="00983583"/>
    <w:rsid w:val="0098432E"/>
    <w:rsid w:val="00984D06"/>
    <w:rsid w:val="00984D77"/>
    <w:rsid w:val="0098524F"/>
    <w:rsid w:val="00985FF7"/>
    <w:rsid w:val="00986A76"/>
    <w:rsid w:val="00986C13"/>
    <w:rsid w:val="00987ABE"/>
    <w:rsid w:val="00987C9F"/>
    <w:rsid w:val="009906C7"/>
    <w:rsid w:val="00990D3A"/>
    <w:rsid w:val="00990DEF"/>
    <w:rsid w:val="00991652"/>
    <w:rsid w:val="00992A4B"/>
    <w:rsid w:val="00993B36"/>
    <w:rsid w:val="00995D8F"/>
    <w:rsid w:val="009963CD"/>
    <w:rsid w:val="009967B5"/>
    <w:rsid w:val="00996EA0"/>
    <w:rsid w:val="009A04C4"/>
    <w:rsid w:val="009A0CA6"/>
    <w:rsid w:val="009A2530"/>
    <w:rsid w:val="009A5FF8"/>
    <w:rsid w:val="009A632B"/>
    <w:rsid w:val="009B12A5"/>
    <w:rsid w:val="009B266D"/>
    <w:rsid w:val="009B3825"/>
    <w:rsid w:val="009B3D81"/>
    <w:rsid w:val="009B5CBF"/>
    <w:rsid w:val="009B6810"/>
    <w:rsid w:val="009B6E7B"/>
    <w:rsid w:val="009B742F"/>
    <w:rsid w:val="009B78F2"/>
    <w:rsid w:val="009B7D14"/>
    <w:rsid w:val="009C058A"/>
    <w:rsid w:val="009C184A"/>
    <w:rsid w:val="009C2CA5"/>
    <w:rsid w:val="009C443A"/>
    <w:rsid w:val="009C5199"/>
    <w:rsid w:val="009C5E98"/>
    <w:rsid w:val="009C72D3"/>
    <w:rsid w:val="009C7C44"/>
    <w:rsid w:val="009D17FC"/>
    <w:rsid w:val="009D2BA2"/>
    <w:rsid w:val="009D3E26"/>
    <w:rsid w:val="009D3E45"/>
    <w:rsid w:val="009D4638"/>
    <w:rsid w:val="009D4AA8"/>
    <w:rsid w:val="009D6F2F"/>
    <w:rsid w:val="009E0F3F"/>
    <w:rsid w:val="009E3F9F"/>
    <w:rsid w:val="009E4235"/>
    <w:rsid w:val="009E71DD"/>
    <w:rsid w:val="009E7599"/>
    <w:rsid w:val="009E78AD"/>
    <w:rsid w:val="009E7A0E"/>
    <w:rsid w:val="009F0468"/>
    <w:rsid w:val="009F121E"/>
    <w:rsid w:val="009F2608"/>
    <w:rsid w:val="009F351F"/>
    <w:rsid w:val="009F36E2"/>
    <w:rsid w:val="009F39EB"/>
    <w:rsid w:val="009F3F89"/>
    <w:rsid w:val="009F42DF"/>
    <w:rsid w:val="009F480E"/>
    <w:rsid w:val="009F58B7"/>
    <w:rsid w:val="009F7139"/>
    <w:rsid w:val="009F7358"/>
    <w:rsid w:val="009F7BAE"/>
    <w:rsid w:val="00A022A2"/>
    <w:rsid w:val="00A02D15"/>
    <w:rsid w:val="00A0308B"/>
    <w:rsid w:val="00A11403"/>
    <w:rsid w:val="00A11930"/>
    <w:rsid w:val="00A11D41"/>
    <w:rsid w:val="00A1266D"/>
    <w:rsid w:val="00A1305D"/>
    <w:rsid w:val="00A130BC"/>
    <w:rsid w:val="00A1316D"/>
    <w:rsid w:val="00A14772"/>
    <w:rsid w:val="00A161E6"/>
    <w:rsid w:val="00A162C5"/>
    <w:rsid w:val="00A16467"/>
    <w:rsid w:val="00A167FB"/>
    <w:rsid w:val="00A16E4E"/>
    <w:rsid w:val="00A227BA"/>
    <w:rsid w:val="00A228A7"/>
    <w:rsid w:val="00A22E4C"/>
    <w:rsid w:val="00A25A89"/>
    <w:rsid w:val="00A25D79"/>
    <w:rsid w:val="00A265DF"/>
    <w:rsid w:val="00A26B0D"/>
    <w:rsid w:val="00A301EA"/>
    <w:rsid w:val="00A3040C"/>
    <w:rsid w:val="00A32A61"/>
    <w:rsid w:val="00A336E1"/>
    <w:rsid w:val="00A33F8D"/>
    <w:rsid w:val="00A36E35"/>
    <w:rsid w:val="00A3735A"/>
    <w:rsid w:val="00A373AB"/>
    <w:rsid w:val="00A42F1B"/>
    <w:rsid w:val="00A44EBE"/>
    <w:rsid w:val="00A4636F"/>
    <w:rsid w:val="00A46D02"/>
    <w:rsid w:val="00A516F1"/>
    <w:rsid w:val="00A52AAC"/>
    <w:rsid w:val="00A538D6"/>
    <w:rsid w:val="00A546BC"/>
    <w:rsid w:val="00A55989"/>
    <w:rsid w:val="00A564B1"/>
    <w:rsid w:val="00A5694A"/>
    <w:rsid w:val="00A60271"/>
    <w:rsid w:val="00A61412"/>
    <w:rsid w:val="00A6233D"/>
    <w:rsid w:val="00A630B4"/>
    <w:rsid w:val="00A63AE4"/>
    <w:rsid w:val="00A63DA4"/>
    <w:rsid w:val="00A664E7"/>
    <w:rsid w:val="00A66961"/>
    <w:rsid w:val="00A703FC"/>
    <w:rsid w:val="00A709E1"/>
    <w:rsid w:val="00A70AEF"/>
    <w:rsid w:val="00A720C3"/>
    <w:rsid w:val="00A72539"/>
    <w:rsid w:val="00A72603"/>
    <w:rsid w:val="00A72A13"/>
    <w:rsid w:val="00A73A66"/>
    <w:rsid w:val="00A742E3"/>
    <w:rsid w:val="00A75CD5"/>
    <w:rsid w:val="00A763D5"/>
    <w:rsid w:val="00A76ACF"/>
    <w:rsid w:val="00A802E8"/>
    <w:rsid w:val="00A809B8"/>
    <w:rsid w:val="00A80EEE"/>
    <w:rsid w:val="00A814FE"/>
    <w:rsid w:val="00A81838"/>
    <w:rsid w:val="00A828E3"/>
    <w:rsid w:val="00A82A85"/>
    <w:rsid w:val="00A83DF3"/>
    <w:rsid w:val="00A85915"/>
    <w:rsid w:val="00A86270"/>
    <w:rsid w:val="00A86CFB"/>
    <w:rsid w:val="00A86D1F"/>
    <w:rsid w:val="00A87847"/>
    <w:rsid w:val="00A87983"/>
    <w:rsid w:val="00A920C3"/>
    <w:rsid w:val="00A92309"/>
    <w:rsid w:val="00A952AB"/>
    <w:rsid w:val="00A966D9"/>
    <w:rsid w:val="00A9783D"/>
    <w:rsid w:val="00AA0D73"/>
    <w:rsid w:val="00AA387D"/>
    <w:rsid w:val="00AA45E6"/>
    <w:rsid w:val="00AA4B65"/>
    <w:rsid w:val="00AA52E5"/>
    <w:rsid w:val="00AA5A37"/>
    <w:rsid w:val="00AA5A3B"/>
    <w:rsid w:val="00AA6C55"/>
    <w:rsid w:val="00AA7A88"/>
    <w:rsid w:val="00AB035C"/>
    <w:rsid w:val="00AB1704"/>
    <w:rsid w:val="00AB18DA"/>
    <w:rsid w:val="00AB251F"/>
    <w:rsid w:val="00AB4289"/>
    <w:rsid w:val="00AB4440"/>
    <w:rsid w:val="00AB4551"/>
    <w:rsid w:val="00AB489C"/>
    <w:rsid w:val="00AB4939"/>
    <w:rsid w:val="00AB50C1"/>
    <w:rsid w:val="00AB6936"/>
    <w:rsid w:val="00AB7370"/>
    <w:rsid w:val="00AC04CD"/>
    <w:rsid w:val="00AC098F"/>
    <w:rsid w:val="00AC0C3B"/>
    <w:rsid w:val="00AC2609"/>
    <w:rsid w:val="00AC2D26"/>
    <w:rsid w:val="00AC2D63"/>
    <w:rsid w:val="00AC708B"/>
    <w:rsid w:val="00AC7438"/>
    <w:rsid w:val="00AC7622"/>
    <w:rsid w:val="00AD03D8"/>
    <w:rsid w:val="00AD0711"/>
    <w:rsid w:val="00AD2C61"/>
    <w:rsid w:val="00AD5438"/>
    <w:rsid w:val="00AD704E"/>
    <w:rsid w:val="00AD7C40"/>
    <w:rsid w:val="00AE2D8E"/>
    <w:rsid w:val="00AE3DBC"/>
    <w:rsid w:val="00AE5FE0"/>
    <w:rsid w:val="00AE60B7"/>
    <w:rsid w:val="00AE66A8"/>
    <w:rsid w:val="00AE79D7"/>
    <w:rsid w:val="00AF0FA8"/>
    <w:rsid w:val="00AF1044"/>
    <w:rsid w:val="00AF2AB7"/>
    <w:rsid w:val="00AF2B1C"/>
    <w:rsid w:val="00AF3450"/>
    <w:rsid w:val="00AF3638"/>
    <w:rsid w:val="00AF4D3F"/>
    <w:rsid w:val="00AF56A6"/>
    <w:rsid w:val="00AF6D2F"/>
    <w:rsid w:val="00B0219F"/>
    <w:rsid w:val="00B0300B"/>
    <w:rsid w:val="00B05457"/>
    <w:rsid w:val="00B057F5"/>
    <w:rsid w:val="00B05A12"/>
    <w:rsid w:val="00B07DE3"/>
    <w:rsid w:val="00B11555"/>
    <w:rsid w:val="00B126CB"/>
    <w:rsid w:val="00B128A0"/>
    <w:rsid w:val="00B14299"/>
    <w:rsid w:val="00B1437D"/>
    <w:rsid w:val="00B14CAC"/>
    <w:rsid w:val="00B17988"/>
    <w:rsid w:val="00B20240"/>
    <w:rsid w:val="00B20F29"/>
    <w:rsid w:val="00B22C31"/>
    <w:rsid w:val="00B22C3E"/>
    <w:rsid w:val="00B22FF0"/>
    <w:rsid w:val="00B23281"/>
    <w:rsid w:val="00B237ED"/>
    <w:rsid w:val="00B23CF8"/>
    <w:rsid w:val="00B242A1"/>
    <w:rsid w:val="00B27571"/>
    <w:rsid w:val="00B27B35"/>
    <w:rsid w:val="00B30041"/>
    <w:rsid w:val="00B313E3"/>
    <w:rsid w:val="00B33498"/>
    <w:rsid w:val="00B344FB"/>
    <w:rsid w:val="00B34C0A"/>
    <w:rsid w:val="00B363AA"/>
    <w:rsid w:val="00B36C5C"/>
    <w:rsid w:val="00B404AD"/>
    <w:rsid w:val="00B4164B"/>
    <w:rsid w:val="00B42567"/>
    <w:rsid w:val="00B426CF"/>
    <w:rsid w:val="00B439E5"/>
    <w:rsid w:val="00B4582A"/>
    <w:rsid w:val="00B47DA9"/>
    <w:rsid w:val="00B50810"/>
    <w:rsid w:val="00B51DCC"/>
    <w:rsid w:val="00B53D11"/>
    <w:rsid w:val="00B53F05"/>
    <w:rsid w:val="00B5409A"/>
    <w:rsid w:val="00B54B28"/>
    <w:rsid w:val="00B55574"/>
    <w:rsid w:val="00B60225"/>
    <w:rsid w:val="00B63A6C"/>
    <w:rsid w:val="00B648AF"/>
    <w:rsid w:val="00B64E7C"/>
    <w:rsid w:val="00B64F45"/>
    <w:rsid w:val="00B6525D"/>
    <w:rsid w:val="00B65ABA"/>
    <w:rsid w:val="00B6600A"/>
    <w:rsid w:val="00B6707B"/>
    <w:rsid w:val="00B67097"/>
    <w:rsid w:val="00B673C1"/>
    <w:rsid w:val="00B6740C"/>
    <w:rsid w:val="00B675EB"/>
    <w:rsid w:val="00B6790F"/>
    <w:rsid w:val="00B67BBE"/>
    <w:rsid w:val="00B7021C"/>
    <w:rsid w:val="00B71785"/>
    <w:rsid w:val="00B71B3B"/>
    <w:rsid w:val="00B72326"/>
    <w:rsid w:val="00B755CF"/>
    <w:rsid w:val="00B761A0"/>
    <w:rsid w:val="00B764BC"/>
    <w:rsid w:val="00B77F48"/>
    <w:rsid w:val="00B821C4"/>
    <w:rsid w:val="00B831D2"/>
    <w:rsid w:val="00B83419"/>
    <w:rsid w:val="00B8484E"/>
    <w:rsid w:val="00B853DB"/>
    <w:rsid w:val="00B85EFE"/>
    <w:rsid w:val="00B865B3"/>
    <w:rsid w:val="00B877BE"/>
    <w:rsid w:val="00B87D61"/>
    <w:rsid w:val="00B90101"/>
    <w:rsid w:val="00B91EAC"/>
    <w:rsid w:val="00B92581"/>
    <w:rsid w:val="00B929CC"/>
    <w:rsid w:val="00B92A0C"/>
    <w:rsid w:val="00B92CE5"/>
    <w:rsid w:val="00B92E1A"/>
    <w:rsid w:val="00B932F7"/>
    <w:rsid w:val="00B93948"/>
    <w:rsid w:val="00B9473A"/>
    <w:rsid w:val="00B949C7"/>
    <w:rsid w:val="00B94EA5"/>
    <w:rsid w:val="00B959F8"/>
    <w:rsid w:val="00B95ABE"/>
    <w:rsid w:val="00BA197F"/>
    <w:rsid w:val="00BA2B81"/>
    <w:rsid w:val="00BA2D99"/>
    <w:rsid w:val="00BA446C"/>
    <w:rsid w:val="00BA4BC7"/>
    <w:rsid w:val="00BA4E24"/>
    <w:rsid w:val="00BA4F80"/>
    <w:rsid w:val="00BA55B7"/>
    <w:rsid w:val="00BA5E08"/>
    <w:rsid w:val="00BA5E47"/>
    <w:rsid w:val="00BA796D"/>
    <w:rsid w:val="00BA7D57"/>
    <w:rsid w:val="00BB156E"/>
    <w:rsid w:val="00BB2688"/>
    <w:rsid w:val="00BB2A94"/>
    <w:rsid w:val="00BB3330"/>
    <w:rsid w:val="00BB3823"/>
    <w:rsid w:val="00BB47D7"/>
    <w:rsid w:val="00BB48D3"/>
    <w:rsid w:val="00BB4A62"/>
    <w:rsid w:val="00BB62AC"/>
    <w:rsid w:val="00BC01C1"/>
    <w:rsid w:val="00BC02E1"/>
    <w:rsid w:val="00BC299F"/>
    <w:rsid w:val="00BC2FE4"/>
    <w:rsid w:val="00BC360E"/>
    <w:rsid w:val="00BC43AE"/>
    <w:rsid w:val="00BC45A1"/>
    <w:rsid w:val="00BC5529"/>
    <w:rsid w:val="00BC5A34"/>
    <w:rsid w:val="00BC6A34"/>
    <w:rsid w:val="00BC76A4"/>
    <w:rsid w:val="00BC7C5E"/>
    <w:rsid w:val="00BC7C9C"/>
    <w:rsid w:val="00BD0E95"/>
    <w:rsid w:val="00BD17F5"/>
    <w:rsid w:val="00BD2827"/>
    <w:rsid w:val="00BD2B6B"/>
    <w:rsid w:val="00BD2E64"/>
    <w:rsid w:val="00BD4972"/>
    <w:rsid w:val="00BD58A9"/>
    <w:rsid w:val="00BD66E6"/>
    <w:rsid w:val="00BD6E05"/>
    <w:rsid w:val="00BD773C"/>
    <w:rsid w:val="00BD7A0C"/>
    <w:rsid w:val="00BD7BFF"/>
    <w:rsid w:val="00BD7FBD"/>
    <w:rsid w:val="00BE0E78"/>
    <w:rsid w:val="00BE2A3D"/>
    <w:rsid w:val="00BE3994"/>
    <w:rsid w:val="00BE4B82"/>
    <w:rsid w:val="00BE54D0"/>
    <w:rsid w:val="00BE6454"/>
    <w:rsid w:val="00BE7AD7"/>
    <w:rsid w:val="00BF0F82"/>
    <w:rsid w:val="00BF4885"/>
    <w:rsid w:val="00BF68FE"/>
    <w:rsid w:val="00BF6B6C"/>
    <w:rsid w:val="00BF6B96"/>
    <w:rsid w:val="00BF7251"/>
    <w:rsid w:val="00BF7F28"/>
    <w:rsid w:val="00C01909"/>
    <w:rsid w:val="00C031AC"/>
    <w:rsid w:val="00C0376E"/>
    <w:rsid w:val="00C05759"/>
    <w:rsid w:val="00C05787"/>
    <w:rsid w:val="00C068D8"/>
    <w:rsid w:val="00C070D3"/>
    <w:rsid w:val="00C07450"/>
    <w:rsid w:val="00C07C2E"/>
    <w:rsid w:val="00C10C61"/>
    <w:rsid w:val="00C111FE"/>
    <w:rsid w:val="00C116F9"/>
    <w:rsid w:val="00C11871"/>
    <w:rsid w:val="00C1194B"/>
    <w:rsid w:val="00C1274D"/>
    <w:rsid w:val="00C13059"/>
    <w:rsid w:val="00C14647"/>
    <w:rsid w:val="00C156D4"/>
    <w:rsid w:val="00C1601C"/>
    <w:rsid w:val="00C167A3"/>
    <w:rsid w:val="00C1789C"/>
    <w:rsid w:val="00C2181C"/>
    <w:rsid w:val="00C21E0B"/>
    <w:rsid w:val="00C2321B"/>
    <w:rsid w:val="00C23573"/>
    <w:rsid w:val="00C24DD1"/>
    <w:rsid w:val="00C25E17"/>
    <w:rsid w:val="00C2657D"/>
    <w:rsid w:val="00C26A87"/>
    <w:rsid w:val="00C3498A"/>
    <w:rsid w:val="00C36BD2"/>
    <w:rsid w:val="00C3720D"/>
    <w:rsid w:val="00C3745D"/>
    <w:rsid w:val="00C416E1"/>
    <w:rsid w:val="00C41C28"/>
    <w:rsid w:val="00C43954"/>
    <w:rsid w:val="00C44A5D"/>
    <w:rsid w:val="00C45D60"/>
    <w:rsid w:val="00C47787"/>
    <w:rsid w:val="00C47BF8"/>
    <w:rsid w:val="00C50E17"/>
    <w:rsid w:val="00C51B1C"/>
    <w:rsid w:val="00C531C1"/>
    <w:rsid w:val="00C53DCE"/>
    <w:rsid w:val="00C5409F"/>
    <w:rsid w:val="00C565C4"/>
    <w:rsid w:val="00C57679"/>
    <w:rsid w:val="00C6149F"/>
    <w:rsid w:val="00C631E4"/>
    <w:rsid w:val="00C64892"/>
    <w:rsid w:val="00C655F2"/>
    <w:rsid w:val="00C65B4C"/>
    <w:rsid w:val="00C65B61"/>
    <w:rsid w:val="00C70E53"/>
    <w:rsid w:val="00C7276F"/>
    <w:rsid w:val="00C72979"/>
    <w:rsid w:val="00C744F0"/>
    <w:rsid w:val="00C74A65"/>
    <w:rsid w:val="00C76782"/>
    <w:rsid w:val="00C76B98"/>
    <w:rsid w:val="00C7736D"/>
    <w:rsid w:val="00C813AE"/>
    <w:rsid w:val="00C81529"/>
    <w:rsid w:val="00C81A7C"/>
    <w:rsid w:val="00C81BA6"/>
    <w:rsid w:val="00C8232F"/>
    <w:rsid w:val="00C826A5"/>
    <w:rsid w:val="00C829A7"/>
    <w:rsid w:val="00C82DAF"/>
    <w:rsid w:val="00C8377C"/>
    <w:rsid w:val="00C84293"/>
    <w:rsid w:val="00C873F2"/>
    <w:rsid w:val="00C877CD"/>
    <w:rsid w:val="00C902E9"/>
    <w:rsid w:val="00C908B7"/>
    <w:rsid w:val="00C91425"/>
    <w:rsid w:val="00C916EC"/>
    <w:rsid w:val="00C91D81"/>
    <w:rsid w:val="00C92A42"/>
    <w:rsid w:val="00C934B4"/>
    <w:rsid w:val="00C952B5"/>
    <w:rsid w:val="00C95655"/>
    <w:rsid w:val="00C96563"/>
    <w:rsid w:val="00C9677A"/>
    <w:rsid w:val="00C9791B"/>
    <w:rsid w:val="00CA0BBB"/>
    <w:rsid w:val="00CA0D0E"/>
    <w:rsid w:val="00CA18F2"/>
    <w:rsid w:val="00CA1FD3"/>
    <w:rsid w:val="00CA298A"/>
    <w:rsid w:val="00CA2DAE"/>
    <w:rsid w:val="00CA32E0"/>
    <w:rsid w:val="00CA360D"/>
    <w:rsid w:val="00CA3B25"/>
    <w:rsid w:val="00CA3E14"/>
    <w:rsid w:val="00CA4289"/>
    <w:rsid w:val="00CA4871"/>
    <w:rsid w:val="00CA4BD5"/>
    <w:rsid w:val="00CA6007"/>
    <w:rsid w:val="00CA6722"/>
    <w:rsid w:val="00CA6D4E"/>
    <w:rsid w:val="00CA6E84"/>
    <w:rsid w:val="00CA7569"/>
    <w:rsid w:val="00CA7B4B"/>
    <w:rsid w:val="00CB0773"/>
    <w:rsid w:val="00CB3454"/>
    <w:rsid w:val="00CB36A8"/>
    <w:rsid w:val="00CB4FC7"/>
    <w:rsid w:val="00CC07FB"/>
    <w:rsid w:val="00CC139A"/>
    <w:rsid w:val="00CC1E7A"/>
    <w:rsid w:val="00CC2285"/>
    <w:rsid w:val="00CC3FEB"/>
    <w:rsid w:val="00CC4F64"/>
    <w:rsid w:val="00CC5BF7"/>
    <w:rsid w:val="00CD009D"/>
    <w:rsid w:val="00CD01AF"/>
    <w:rsid w:val="00CD058C"/>
    <w:rsid w:val="00CD116E"/>
    <w:rsid w:val="00CD30DF"/>
    <w:rsid w:val="00CD37B9"/>
    <w:rsid w:val="00CD3B98"/>
    <w:rsid w:val="00CD4027"/>
    <w:rsid w:val="00CD4216"/>
    <w:rsid w:val="00CD4BDC"/>
    <w:rsid w:val="00CD518C"/>
    <w:rsid w:val="00CD733F"/>
    <w:rsid w:val="00CD7BCB"/>
    <w:rsid w:val="00CD7C65"/>
    <w:rsid w:val="00CE0942"/>
    <w:rsid w:val="00CE31C9"/>
    <w:rsid w:val="00CE3485"/>
    <w:rsid w:val="00CE34E2"/>
    <w:rsid w:val="00CE38CF"/>
    <w:rsid w:val="00CE45C9"/>
    <w:rsid w:val="00CE49C4"/>
    <w:rsid w:val="00CE6440"/>
    <w:rsid w:val="00CE7CA5"/>
    <w:rsid w:val="00CF1D81"/>
    <w:rsid w:val="00CF2534"/>
    <w:rsid w:val="00CF2DC9"/>
    <w:rsid w:val="00CF37E9"/>
    <w:rsid w:val="00CF4F01"/>
    <w:rsid w:val="00CF6C0D"/>
    <w:rsid w:val="00CF6DE4"/>
    <w:rsid w:val="00CF7CB6"/>
    <w:rsid w:val="00D02CAA"/>
    <w:rsid w:val="00D02EDC"/>
    <w:rsid w:val="00D05DD8"/>
    <w:rsid w:val="00D0670C"/>
    <w:rsid w:val="00D075C9"/>
    <w:rsid w:val="00D10561"/>
    <w:rsid w:val="00D12EFD"/>
    <w:rsid w:val="00D140E5"/>
    <w:rsid w:val="00D15447"/>
    <w:rsid w:val="00D15E48"/>
    <w:rsid w:val="00D16309"/>
    <w:rsid w:val="00D167AC"/>
    <w:rsid w:val="00D20644"/>
    <w:rsid w:val="00D239DA"/>
    <w:rsid w:val="00D246E9"/>
    <w:rsid w:val="00D24E8E"/>
    <w:rsid w:val="00D24F78"/>
    <w:rsid w:val="00D263A2"/>
    <w:rsid w:val="00D30DB6"/>
    <w:rsid w:val="00D311AB"/>
    <w:rsid w:val="00D3178A"/>
    <w:rsid w:val="00D31E32"/>
    <w:rsid w:val="00D3222B"/>
    <w:rsid w:val="00D32290"/>
    <w:rsid w:val="00D325A8"/>
    <w:rsid w:val="00D3384C"/>
    <w:rsid w:val="00D33EB0"/>
    <w:rsid w:val="00D3468D"/>
    <w:rsid w:val="00D36DC6"/>
    <w:rsid w:val="00D37BF8"/>
    <w:rsid w:val="00D40E08"/>
    <w:rsid w:val="00D40F88"/>
    <w:rsid w:val="00D41577"/>
    <w:rsid w:val="00D41E71"/>
    <w:rsid w:val="00D42156"/>
    <w:rsid w:val="00D433FE"/>
    <w:rsid w:val="00D441DE"/>
    <w:rsid w:val="00D442AD"/>
    <w:rsid w:val="00D4436F"/>
    <w:rsid w:val="00D45DF9"/>
    <w:rsid w:val="00D47F5E"/>
    <w:rsid w:val="00D5095E"/>
    <w:rsid w:val="00D52730"/>
    <w:rsid w:val="00D52F1E"/>
    <w:rsid w:val="00D5380C"/>
    <w:rsid w:val="00D54C56"/>
    <w:rsid w:val="00D5618A"/>
    <w:rsid w:val="00D5685E"/>
    <w:rsid w:val="00D56BA7"/>
    <w:rsid w:val="00D57206"/>
    <w:rsid w:val="00D5784B"/>
    <w:rsid w:val="00D60EDC"/>
    <w:rsid w:val="00D62ED5"/>
    <w:rsid w:val="00D63EFB"/>
    <w:rsid w:val="00D658AF"/>
    <w:rsid w:val="00D65DC8"/>
    <w:rsid w:val="00D7004E"/>
    <w:rsid w:val="00D7056B"/>
    <w:rsid w:val="00D70A79"/>
    <w:rsid w:val="00D70BA8"/>
    <w:rsid w:val="00D71254"/>
    <w:rsid w:val="00D713A7"/>
    <w:rsid w:val="00D71898"/>
    <w:rsid w:val="00D74EC3"/>
    <w:rsid w:val="00D7594F"/>
    <w:rsid w:val="00D77058"/>
    <w:rsid w:val="00D77158"/>
    <w:rsid w:val="00D7724E"/>
    <w:rsid w:val="00D8240D"/>
    <w:rsid w:val="00D837A0"/>
    <w:rsid w:val="00D83DE9"/>
    <w:rsid w:val="00D8450D"/>
    <w:rsid w:val="00D8472E"/>
    <w:rsid w:val="00D86BBD"/>
    <w:rsid w:val="00D8731A"/>
    <w:rsid w:val="00D87D2B"/>
    <w:rsid w:val="00D9083C"/>
    <w:rsid w:val="00D911ED"/>
    <w:rsid w:val="00D9176C"/>
    <w:rsid w:val="00D92D40"/>
    <w:rsid w:val="00D93A1C"/>
    <w:rsid w:val="00D93E32"/>
    <w:rsid w:val="00D94475"/>
    <w:rsid w:val="00D95AF9"/>
    <w:rsid w:val="00D95E2F"/>
    <w:rsid w:val="00DA032B"/>
    <w:rsid w:val="00DA09C9"/>
    <w:rsid w:val="00DA1822"/>
    <w:rsid w:val="00DA1CA5"/>
    <w:rsid w:val="00DA2DAA"/>
    <w:rsid w:val="00DA3133"/>
    <w:rsid w:val="00DA36A6"/>
    <w:rsid w:val="00DA4D2D"/>
    <w:rsid w:val="00DA54DA"/>
    <w:rsid w:val="00DA584A"/>
    <w:rsid w:val="00DB0406"/>
    <w:rsid w:val="00DB043B"/>
    <w:rsid w:val="00DB1E3E"/>
    <w:rsid w:val="00DB2D0A"/>
    <w:rsid w:val="00DB3420"/>
    <w:rsid w:val="00DB3AEC"/>
    <w:rsid w:val="00DB5E1F"/>
    <w:rsid w:val="00DB6F95"/>
    <w:rsid w:val="00DC03D5"/>
    <w:rsid w:val="00DC056C"/>
    <w:rsid w:val="00DC19D8"/>
    <w:rsid w:val="00DC2613"/>
    <w:rsid w:val="00DC28DC"/>
    <w:rsid w:val="00DC2E2E"/>
    <w:rsid w:val="00DC438E"/>
    <w:rsid w:val="00DC4512"/>
    <w:rsid w:val="00DC5C65"/>
    <w:rsid w:val="00DC60C9"/>
    <w:rsid w:val="00DC7D47"/>
    <w:rsid w:val="00DD1FA3"/>
    <w:rsid w:val="00DD3691"/>
    <w:rsid w:val="00DD4B55"/>
    <w:rsid w:val="00DD4FFC"/>
    <w:rsid w:val="00DD58B6"/>
    <w:rsid w:val="00DD6075"/>
    <w:rsid w:val="00DD6237"/>
    <w:rsid w:val="00DD636D"/>
    <w:rsid w:val="00DE18EA"/>
    <w:rsid w:val="00DE1E90"/>
    <w:rsid w:val="00DE24E6"/>
    <w:rsid w:val="00DE287A"/>
    <w:rsid w:val="00DE2D2E"/>
    <w:rsid w:val="00DE365D"/>
    <w:rsid w:val="00DE43AA"/>
    <w:rsid w:val="00DE5387"/>
    <w:rsid w:val="00DE5A9E"/>
    <w:rsid w:val="00DE5C8A"/>
    <w:rsid w:val="00DE6350"/>
    <w:rsid w:val="00DE6E95"/>
    <w:rsid w:val="00DE7B07"/>
    <w:rsid w:val="00DF0154"/>
    <w:rsid w:val="00DF07AD"/>
    <w:rsid w:val="00DF3052"/>
    <w:rsid w:val="00DF3364"/>
    <w:rsid w:val="00DF3521"/>
    <w:rsid w:val="00DF5858"/>
    <w:rsid w:val="00DF702A"/>
    <w:rsid w:val="00DF755D"/>
    <w:rsid w:val="00DF7D09"/>
    <w:rsid w:val="00DF7DC9"/>
    <w:rsid w:val="00DF7E94"/>
    <w:rsid w:val="00E00939"/>
    <w:rsid w:val="00E0300A"/>
    <w:rsid w:val="00E03662"/>
    <w:rsid w:val="00E037A5"/>
    <w:rsid w:val="00E0473A"/>
    <w:rsid w:val="00E055BB"/>
    <w:rsid w:val="00E07B03"/>
    <w:rsid w:val="00E102B3"/>
    <w:rsid w:val="00E11449"/>
    <w:rsid w:val="00E11988"/>
    <w:rsid w:val="00E13CF7"/>
    <w:rsid w:val="00E1596B"/>
    <w:rsid w:val="00E15DA9"/>
    <w:rsid w:val="00E17689"/>
    <w:rsid w:val="00E17DFF"/>
    <w:rsid w:val="00E2095D"/>
    <w:rsid w:val="00E20A78"/>
    <w:rsid w:val="00E218C4"/>
    <w:rsid w:val="00E21DFA"/>
    <w:rsid w:val="00E234C9"/>
    <w:rsid w:val="00E23C35"/>
    <w:rsid w:val="00E26249"/>
    <w:rsid w:val="00E2682C"/>
    <w:rsid w:val="00E26BEB"/>
    <w:rsid w:val="00E26C65"/>
    <w:rsid w:val="00E30414"/>
    <w:rsid w:val="00E31E2D"/>
    <w:rsid w:val="00E31E9A"/>
    <w:rsid w:val="00E31FFC"/>
    <w:rsid w:val="00E334FF"/>
    <w:rsid w:val="00E35D66"/>
    <w:rsid w:val="00E36EB2"/>
    <w:rsid w:val="00E3722C"/>
    <w:rsid w:val="00E37BE2"/>
    <w:rsid w:val="00E40769"/>
    <w:rsid w:val="00E41EC0"/>
    <w:rsid w:val="00E4282D"/>
    <w:rsid w:val="00E42B01"/>
    <w:rsid w:val="00E42E8B"/>
    <w:rsid w:val="00E43BD3"/>
    <w:rsid w:val="00E47EF6"/>
    <w:rsid w:val="00E51E6C"/>
    <w:rsid w:val="00E534A7"/>
    <w:rsid w:val="00E53711"/>
    <w:rsid w:val="00E541F6"/>
    <w:rsid w:val="00E545DA"/>
    <w:rsid w:val="00E56047"/>
    <w:rsid w:val="00E608A4"/>
    <w:rsid w:val="00E60F12"/>
    <w:rsid w:val="00E62146"/>
    <w:rsid w:val="00E62E49"/>
    <w:rsid w:val="00E63741"/>
    <w:rsid w:val="00E645ED"/>
    <w:rsid w:val="00E6465D"/>
    <w:rsid w:val="00E64ABF"/>
    <w:rsid w:val="00E64E84"/>
    <w:rsid w:val="00E6507E"/>
    <w:rsid w:val="00E652FB"/>
    <w:rsid w:val="00E66C20"/>
    <w:rsid w:val="00E67317"/>
    <w:rsid w:val="00E67537"/>
    <w:rsid w:val="00E70204"/>
    <w:rsid w:val="00E7049E"/>
    <w:rsid w:val="00E70F2C"/>
    <w:rsid w:val="00E71C46"/>
    <w:rsid w:val="00E72340"/>
    <w:rsid w:val="00E731B7"/>
    <w:rsid w:val="00E73FE3"/>
    <w:rsid w:val="00E74869"/>
    <w:rsid w:val="00E75A1D"/>
    <w:rsid w:val="00E75DBC"/>
    <w:rsid w:val="00E75ED2"/>
    <w:rsid w:val="00E8280C"/>
    <w:rsid w:val="00E82E69"/>
    <w:rsid w:val="00E83E4C"/>
    <w:rsid w:val="00E84516"/>
    <w:rsid w:val="00E85D26"/>
    <w:rsid w:val="00E86282"/>
    <w:rsid w:val="00E91933"/>
    <w:rsid w:val="00E920E9"/>
    <w:rsid w:val="00E92A81"/>
    <w:rsid w:val="00E93DB0"/>
    <w:rsid w:val="00E9502E"/>
    <w:rsid w:val="00E95996"/>
    <w:rsid w:val="00E969B1"/>
    <w:rsid w:val="00E97FFE"/>
    <w:rsid w:val="00EA1D50"/>
    <w:rsid w:val="00EA2A52"/>
    <w:rsid w:val="00EA44EB"/>
    <w:rsid w:val="00EA6126"/>
    <w:rsid w:val="00EA642F"/>
    <w:rsid w:val="00EB3272"/>
    <w:rsid w:val="00EB336A"/>
    <w:rsid w:val="00EB405C"/>
    <w:rsid w:val="00EB4475"/>
    <w:rsid w:val="00EB6552"/>
    <w:rsid w:val="00EB6BBE"/>
    <w:rsid w:val="00EC06D2"/>
    <w:rsid w:val="00EC18E6"/>
    <w:rsid w:val="00EC1984"/>
    <w:rsid w:val="00EC1DD4"/>
    <w:rsid w:val="00EC234C"/>
    <w:rsid w:val="00EC4927"/>
    <w:rsid w:val="00EC6FA6"/>
    <w:rsid w:val="00ED06E0"/>
    <w:rsid w:val="00ED0DC9"/>
    <w:rsid w:val="00ED15A0"/>
    <w:rsid w:val="00ED3529"/>
    <w:rsid w:val="00ED3C4D"/>
    <w:rsid w:val="00ED3DE3"/>
    <w:rsid w:val="00ED468C"/>
    <w:rsid w:val="00ED4D17"/>
    <w:rsid w:val="00ED6218"/>
    <w:rsid w:val="00ED7DD2"/>
    <w:rsid w:val="00EE0E61"/>
    <w:rsid w:val="00EE1726"/>
    <w:rsid w:val="00EE6CD3"/>
    <w:rsid w:val="00EF0094"/>
    <w:rsid w:val="00EF09BA"/>
    <w:rsid w:val="00EF20D7"/>
    <w:rsid w:val="00EF21C3"/>
    <w:rsid w:val="00EF2FA2"/>
    <w:rsid w:val="00EF3419"/>
    <w:rsid w:val="00EF5833"/>
    <w:rsid w:val="00EF5B33"/>
    <w:rsid w:val="00EF7255"/>
    <w:rsid w:val="00EF7A1C"/>
    <w:rsid w:val="00EF7DF1"/>
    <w:rsid w:val="00F0119C"/>
    <w:rsid w:val="00F01E94"/>
    <w:rsid w:val="00F02BDB"/>
    <w:rsid w:val="00F036FE"/>
    <w:rsid w:val="00F0441B"/>
    <w:rsid w:val="00F07623"/>
    <w:rsid w:val="00F07D0B"/>
    <w:rsid w:val="00F10E2F"/>
    <w:rsid w:val="00F126F2"/>
    <w:rsid w:val="00F138C3"/>
    <w:rsid w:val="00F14582"/>
    <w:rsid w:val="00F169D4"/>
    <w:rsid w:val="00F2073E"/>
    <w:rsid w:val="00F20AEE"/>
    <w:rsid w:val="00F217D4"/>
    <w:rsid w:val="00F22E61"/>
    <w:rsid w:val="00F23A64"/>
    <w:rsid w:val="00F24454"/>
    <w:rsid w:val="00F24F60"/>
    <w:rsid w:val="00F25D33"/>
    <w:rsid w:val="00F2667B"/>
    <w:rsid w:val="00F26C5C"/>
    <w:rsid w:val="00F278E9"/>
    <w:rsid w:val="00F3136B"/>
    <w:rsid w:val="00F31437"/>
    <w:rsid w:val="00F314F1"/>
    <w:rsid w:val="00F327EA"/>
    <w:rsid w:val="00F32E83"/>
    <w:rsid w:val="00F33197"/>
    <w:rsid w:val="00F33641"/>
    <w:rsid w:val="00F34598"/>
    <w:rsid w:val="00F349E5"/>
    <w:rsid w:val="00F360AF"/>
    <w:rsid w:val="00F36842"/>
    <w:rsid w:val="00F40780"/>
    <w:rsid w:val="00F42842"/>
    <w:rsid w:val="00F43EE0"/>
    <w:rsid w:val="00F45071"/>
    <w:rsid w:val="00F46D55"/>
    <w:rsid w:val="00F46E40"/>
    <w:rsid w:val="00F4760A"/>
    <w:rsid w:val="00F4792B"/>
    <w:rsid w:val="00F529FE"/>
    <w:rsid w:val="00F52B8E"/>
    <w:rsid w:val="00F53CFD"/>
    <w:rsid w:val="00F54AF5"/>
    <w:rsid w:val="00F557E3"/>
    <w:rsid w:val="00F55BC1"/>
    <w:rsid w:val="00F57C25"/>
    <w:rsid w:val="00F604CA"/>
    <w:rsid w:val="00F6111C"/>
    <w:rsid w:val="00F61E78"/>
    <w:rsid w:val="00F62864"/>
    <w:rsid w:val="00F630C0"/>
    <w:rsid w:val="00F635C5"/>
    <w:rsid w:val="00F6370A"/>
    <w:rsid w:val="00F664F9"/>
    <w:rsid w:val="00F675EB"/>
    <w:rsid w:val="00F70E3E"/>
    <w:rsid w:val="00F714BD"/>
    <w:rsid w:val="00F73644"/>
    <w:rsid w:val="00F736E3"/>
    <w:rsid w:val="00F737EB"/>
    <w:rsid w:val="00F740F8"/>
    <w:rsid w:val="00F741C7"/>
    <w:rsid w:val="00F754D3"/>
    <w:rsid w:val="00F767E8"/>
    <w:rsid w:val="00F77B7D"/>
    <w:rsid w:val="00F80270"/>
    <w:rsid w:val="00F8194B"/>
    <w:rsid w:val="00F81BFB"/>
    <w:rsid w:val="00F83BA7"/>
    <w:rsid w:val="00F86A3F"/>
    <w:rsid w:val="00F8759F"/>
    <w:rsid w:val="00F87F6F"/>
    <w:rsid w:val="00F90F4B"/>
    <w:rsid w:val="00F91297"/>
    <w:rsid w:val="00F9133B"/>
    <w:rsid w:val="00F94DF6"/>
    <w:rsid w:val="00F950E6"/>
    <w:rsid w:val="00F963C7"/>
    <w:rsid w:val="00F96F35"/>
    <w:rsid w:val="00F97192"/>
    <w:rsid w:val="00F97730"/>
    <w:rsid w:val="00FA4F45"/>
    <w:rsid w:val="00FA59E5"/>
    <w:rsid w:val="00FA5DCE"/>
    <w:rsid w:val="00FA7903"/>
    <w:rsid w:val="00FB32A4"/>
    <w:rsid w:val="00FB37AF"/>
    <w:rsid w:val="00FB3986"/>
    <w:rsid w:val="00FB43DC"/>
    <w:rsid w:val="00FB4B1F"/>
    <w:rsid w:val="00FB54F7"/>
    <w:rsid w:val="00FB594D"/>
    <w:rsid w:val="00FB5B92"/>
    <w:rsid w:val="00FB72ED"/>
    <w:rsid w:val="00FB77BC"/>
    <w:rsid w:val="00FB78BD"/>
    <w:rsid w:val="00FB7CAE"/>
    <w:rsid w:val="00FC0052"/>
    <w:rsid w:val="00FC0C20"/>
    <w:rsid w:val="00FC1025"/>
    <w:rsid w:val="00FC141A"/>
    <w:rsid w:val="00FC3FB8"/>
    <w:rsid w:val="00FC4188"/>
    <w:rsid w:val="00FC49BB"/>
    <w:rsid w:val="00FC696F"/>
    <w:rsid w:val="00FC7289"/>
    <w:rsid w:val="00FD0C95"/>
    <w:rsid w:val="00FD1457"/>
    <w:rsid w:val="00FD2BC7"/>
    <w:rsid w:val="00FD2F42"/>
    <w:rsid w:val="00FD409F"/>
    <w:rsid w:val="00FD410D"/>
    <w:rsid w:val="00FD52AA"/>
    <w:rsid w:val="00FD56C8"/>
    <w:rsid w:val="00FD616B"/>
    <w:rsid w:val="00FD6317"/>
    <w:rsid w:val="00FD641B"/>
    <w:rsid w:val="00FD6F56"/>
    <w:rsid w:val="00FD754F"/>
    <w:rsid w:val="00FD7A76"/>
    <w:rsid w:val="00FE093D"/>
    <w:rsid w:val="00FE34AC"/>
    <w:rsid w:val="00FE367F"/>
    <w:rsid w:val="00FE3BE6"/>
    <w:rsid w:val="00FE4772"/>
    <w:rsid w:val="00FE7877"/>
    <w:rsid w:val="00FF28AA"/>
    <w:rsid w:val="00FF29DC"/>
    <w:rsid w:val="00FF2E5C"/>
    <w:rsid w:val="00FF3954"/>
    <w:rsid w:val="00FF4C79"/>
    <w:rsid w:val="00FF52DF"/>
    <w:rsid w:val="00FF642E"/>
    <w:rsid w:val="00FF7DE5"/>
    <w:rsid w:val="0118BBB7"/>
    <w:rsid w:val="0128EA6E"/>
    <w:rsid w:val="01E46B50"/>
    <w:rsid w:val="021E4D8B"/>
    <w:rsid w:val="02832A72"/>
    <w:rsid w:val="02DA0C76"/>
    <w:rsid w:val="02F7ED45"/>
    <w:rsid w:val="041291E2"/>
    <w:rsid w:val="04230381"/>
    <w:rsid w:val="0490D2D6"/>
    <w:rsid w:val="050056FC"/>
    <w:rsid w:val="0521AFC8"/>
    <w:rsid w:val="0532D68F"/>
    <w:rsid w:val="05EF15F3"/>
    <w:rsid w:val="07B29E87"/>
    <w:rsid w:val="0811C31D"/>
    <w:rsid w:val="08148264"/>
    <w:rsid w:val="092F0F12"/>
    <w:rsid w:val="09E9C98D"/>
    <w:rsid w:val="0AAD796A"/>
    <w:rsid w:val="0AE50266"/>
    <w:rsid w:val="0B55DAC6"/>
    <w:rsid w:val="0B8AB61E"/>
    <w:rsid w:val="0BEBA18E"/>
    <w:rsid w:val="0BF45862"/>
    <w:rsid w:val="0C851AF6"/>
    <w:rsid w:val="0D3484C3"/>
    <w:rsid w:val="0D4A35B5"/>
    <w:rsid w:val="0DD6F67B"/>
    <w:rsid w:val="0F011624"/>
    <w:rsid w:val="101AA15E"/>
    <w:rsid w:val="107CBE39"/>
    <w:rsid w:val="1163EC4F"/>
    <w:rsid w:val="11C7918E"/>
    <w:rsid w:val="11EF3091"/>
    <w:rsid w:val="12485187"/>
    <w:rsid w:val="125B15E3"/>
    <w:rsid w:val="1338D7A7"/>
    <w:rsid w:val="137287B3"/>
    <w:rsid w:val="13C19695"/>
    <w:rsid w:val="13F39FC0"/>
    <w:rsid w:val="14A00C7A"/>
    <w:rsid w:val="14A3185B"/>
    <w:rsid w:val="14EF583F"/>
    <w:rsid w:val="15676A75"/>
    <w:rsid w:val="15E0FB9A"/>
    <w:rsid w:val="16D06003"/>
    <w:rsid w:val="16D35D12"/>
    <w:rsid w:val="16E17CC9"/>
    <w:rsid w:val="16EF9C0B"/>
    <w:rsid w:val="17061959"/>
    <w:rsid w:val="172FB5F6"/>
    <w:rsid w:val="17BDD3DB"/>
    <w:rsid w:val="1857CB7E"/>
    <w:rsid w:val="192E626A"/>
    <w:rsid w:val="193DA722"/>
    <w:rsid w:val="19645769"/>
    <w:rsid w:val="19D0F4CF"/>
    <w:rsid w:val="1A1BEE9E"/>
    <w:rsid w:val="1BDE1D30"/>
    <w:rsid w:val="1C3F1E1A"/>
    <w:rsid w:val="1C47496A"/>
    <w:rsid w:val="1C477E3F"/>
    <w:rsid w:val="1C5B4617"/>
    <w:rsid w:val="1C9B425B"/>
    <w:rsid w:val="1D758718"/>
    <w:rsid w:val="1DD2782B"/>
    <w:rsid w:val="1E295B03"/>
    <w:rsid w:val="1E82E05C"/>
    <w:rsid w:val="1EB079DE"/>
    <w:rsid w:val="1EDFB1A9"/>
    <w:rsid w:val="1EFA29EB"/>
    <w:rsid w:val="1F34AC00"/>
    <w:rsid w:val="20BDA2B0"/>
    <w:rsid w:val="21093F67"/>
    <w:rsid w:val="21CB9DCF"/>
    <w:rsid w:val="22CBD532"/>
    <w:rsid w:val="2355BA07"/>
    <w:rsid w:val="23A645E3"/>
    <w:rsid w:val="23B019B2"/>
    <w:rsid w:val="245A8078"/>
    <w:rsid w:val="2492DE20"/>
    <w:rsid w:val="2495DEA1"/>
    <w:rsid w:val="24CCA4CF"/>
    <w:rsid w:val="2597057F"/>
    <w:rsid w:val="25FDAB6F"/>
    <w:rsid w:val="261D9AEF"/>
    <w:rsid w:val="269BC92C"/>
    <w:rsid w:val="26F10D15"/>
    <w:rsid w:val="27779C9F"/>
    <w:rsid w:val="27E66165"/>
    <w:rsid w:val="281339AB"/>
    <w:rsid w:val="281CBFDB"/>
    <w:rsid w:val="2896CC7A"/>
    <w:rsid w:val="28D28094"/>
    <w:rsid w:val="290E42FC"/>
    <w:rsid w:val="29448ECA"/>
    <w:rsid w:val="2ABD65D6"/>
    <w:rsid w:val="2B1C9F46"/>
    <w:rsid w:val="2C35A506"/>
    <w:rsid w:val="2C509465"/>
    <w:rsid w:val="2D6EC38F"/>
    <w:rsid w:val="2E7AE5B6"/>
    <w:rsid w:val="2EA22F51"/>
    <w:rsid w:val="2EC74F49"/>
    <w:rsid w:val="2EE4682A"/>
    <w:rsid w:val="2F03B239"/>
    <w:rsid w:val="2FD65094"/>
    <w:rsid w:val="303D1BAE"/>
    <w:rsid w:val="314E0482"/>
    <w:rsid w:val="31B02778"/>
    <w:rsid w:val="32B5217C"/>
    <w:rsid w:val="349F6E49"/>
    <w:rsid w:val="34F9D9B9"/>
    <w:rsid w:val="351C9575"/>
    <w:rsid w:val="364F75BB"/>
    <w:rsid w:val="36FFB456"/>
    <w:rsid w:val="373AF335"/>
    <w:rsid w:val="37E35BD2"/>
    <w:rsid w:val="38A92702"/>
    <w:rsid w:val="38DD44C8"/>
    <w:rsid w:val="39AB6382"/>
    <w:rsid w:val="39B24FB8"/>
    <w:rsid w:val="39B6A593"/>
    <w:rsid w:val="3A9CAC0A"/>
    <w:rsid w:val="3B563F75"/>
    <w:rsid w:val="3B97A100"/>
    <w:rsid w:val="3CD6DE84"/>
    <w:rsid w:val="3CE26896"/>
    <w:rsid w:val="3D997BC2"/>
    <w:rsid w:val="3DE24986"/>
    <w:rsid w:val="3E12A340"/>
    <w:rsid w:val="40C800BE"/>
    <w:rsid w:val="414ED4C0"/>
    <w:rsid w:val="41D33170"/>
    <w:rsid w:val="421B26AF"/>
    <w:rsid w:val="4255FA9C"/>
    <w:rsid w:val="42CDAA3F"/>
    <w:rsid w:val="43715E3C"/>
    <w:rsid w:val="437229A5"/>
    <w:rsid w:val="447430F7"/>
    <w:rsid w:val="447D755A"/>
    <w:rsid w:val="4575A1F1"/>
    <w:rsid w:val="45799325"/>
    <w:rsid w:val="45C23394"/>
    <w:rsid w:val="45CD1257"/>
    <w:rsid w:val="45EA9854"/>
    <w:rsid w:val="46370A8D"/>
    <w:rsid w:val="4672805F"/>
    <w:rsid w:val="4677A847"/>
    <w:rsid w:val="47E3E2F4"/>
    <w:rsid w:val="4803529D"/>
    <w:rsid w:val="488A59C8"/>
    <w:rsid w:val="48B639A7"/>
    <w:rsid w:val="4B51218F"/>
    <w:rsid w:val="4B64B83A"/>
    <w:rsid w:val="4BA1CE4A"/>
    <w:rsid w:val="4BDBC7FA"/>
    <w:rsid w:val="4BE30211"/>
    <w:rsid w:val="4C2D2D9D"/>
    <w:rsid w:val="4C51E1D3"/>
    <w:rsid w:val="4DFC15E1"/>
    <w:rsid w:val="4F0BAE07"/>
    <w:rsid w:val="4F6A6E58"/>
    <w:rsid w:val="4F9866F0"/>
    <w:rsid w:val="4FE63F9A"/>
    <w:rsid w:val="5165E916"/>
    <w:rsid w:val="517B0852"/>
    <w:rsid w:val="51D320C0"/>
    <w:rsid w:val="51FDF333"/>
    <w:rsid w:val="53380DDB"/>
    <w:rsid w:val="5354CCA5"/>
    <w:rsid w:val="5366FEF8"/>
    <w:rsid w:val="5390A7FB"/>
    <w:rsid w:val="53B142F5"/>
    <w:rsid w:val="53B3E810"/>
    <w:rsid w:val="54A5B1CA"/>
    <w:rsid w:val="558CD18A"/>
    <w:rsid w:val="55BA6197"/>
    <w:rsid w:val="56078BA7"/>
    <w:rsid w:val="57BA3B5D"/>
    <w:rsid w:val="58100A08"/>
    <w:rsid w:val="585EA3A7"/>
    <w:rsid w:val="59BEF2DA"/>
    <w:rsid w:val="5A039DEE"/>
    <w:rsid w:val="5ADDBDF2"/>
    <w:rsid w:val="5AFCB9B4"/>
    <w:rsid w:val="5B082942"/>
    <w:rsid w:val="5B2608C7"/>
    <w:rsid w:val="5B555B38"/>
    <w:rsid w:val="5BB77D7A"/>
    <w:rsid w:val="5BE67566"/>
    <w:rsid w:val="5CCA1EDD"/>
    <w:rsid w:val="5D2B0A4D"/>
    <w:rsid w:val="5DE84EA1"/>
    <w:rsid w:val="5E404E9C"/>
    <w:rsid w:val="5E78A3EC"/>
    <w:rsid w:val="5EA90B96"/>
    <w:rsid w:val="5ECD9860"/>
    <w:rsid w:val="60B67FF0"/>
    <w:rsid w:val="61702EF7"/>
    <w:rsid w:val="61F94A52"/>
    <w:rsid w:val="634979DD"/>
    <w:rsid w:val="645658BB"/>
    <w:rsid w:val="6533CFBC"/>
    <w:rsid w:val="65A055EE"/>
    <w:rsid w:val="65F5294C"/>
    <w:rsid w:val="66C2DCCB"/>
    <w:rsid w:val="66DED14C"/>
    <w:rsid w:val="674BAA6E"/>
    <w:rsid w:val="680B3DED"/>
    <w:rsid w:val="680DA867"/>
    <w:rsid w:val="687A554C"/>
    <w:rsid w:val="69622F46"/>
    <w:rsid w:val="696F7F8F"/>
    <w:rsid w:val="6AA659B8"/>
    <w:rsid w:val="6C0151F3"/>
    <w:rsid w:val="6C1FA454"/>
    <w:rsid w:val="6CB36F9F"/>
    <w:rsid w:val="6E868135"/>
    <w:rsid w:val="6F1BFE85"/>
    <w:rsid w:val="6F56E02C"/>
    <w:rsid w:val="6FE32D5F"/>
    <w:rsid w:val="7188E029"/>
    <w:rsid w:val="71AAA4E9"/>
    <w:rsid w:val="71FE2D1A"/>
    <w:rsid w:val="724ABB6D"/>
    <w:rsid w:val="73ED79FF"/>
    <w:rsid w:val="7500FA0D"/>
    <w:rsid w:val="75374B89"/>
    <w:rsid w:val="758C39A0"/>
    <w:rsid w:val="7697EF9E"/>
    <w:rsid w:val="76F0A410"/>
    <w:rsid w:val="77101B8D"/>
    <w:rsid w:val="775FF426"/>
    <w:rsid w:val="77D8EDD5"/>
    <w:rsid w:val="7822B18E"/>
    <w:rsid w:val="78A34C71"/>
    <w:rsid w:val="791EDD8F"/>
    <w:rsid w:val="79BE929B"/>
    <w:rsid w:val="7A2E5B6A"/>
    <w:rsid w:val="7A665388"/>
    <w:rsid w:val="7B3F42A4"/>
    <w:rsid w:val="7B5F687C"/>
    <w:rsid w:val="7B8216D7"/>
    <w:rsid w:val="7D159AD3"/>
    <w:rsid w:val="7D6706E0"/>
    <w:rsid w:val="7DD43683"/>
    <w:rsid w:val="7F4E5B23"/>
    <w:rsid w:val="7FC0A29B"/>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F02DC4"/>
  <w15:docId w15:val="{F6BB385D-64AE-4699-AFEC-20AE205EC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1" w:qFormat="1"/>
    <w:lsdException w:name="heading 3" w:uiPriority="1" w:qFormat="1"/>
    <w:lsdException w:name="heading 4" w:uiPriority="1" w:qFormat="1"/>
    <w:lsdException w:name="heading 5" w:uiPriority="98"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4350F"/>
    <w:rPr>
      <w:rFonts w:ascii="Cambria" w:hAnsi="Cambria"/>
      <w:lang w:eastAsia="en-US"/>
    </w:rPr>
  </w:style>
  <w:style w:type="paragraph" w:styleId="Heading1">
    <w:name w:val="heading 1"/>
    <w:next w:val="VDWCbody"/>
    <w:link w:val="Heading1Char"/>
    <w:uiPriority w:val="9"/>
    <w:qFormat/>
    <w:rsid w:val="00EC1DD4"/>
    <w:pPr>
      <w:keepNext/>
      <w:keepLines/>
      <w:spacing w:before="520" w:after="440" w:line="440" w:lineRule="atLeast"/>
      <w:outlineLvl w:val="0"/>
    </w:pPr>
    <w:rPr>
      <w:rFonts w:ascii="Arial" w:hAnsi="Arial"/>
      <w:bCs/>
      <w:color w:val="1D1937"/>
      <w:sz w:val="44"/>
      <w:szCs w:val="44"/>
      <w:lang w:eastAsia="en-US"/>
    </w:rPr>
  </w:style>
  <w:style w:type="paragraph" w:styleId="Heading2">
    <w:name w:val="heading 2"/>
    <w:next w:val="VDWCbody"/>
    <w:link w:val="Heading2Char"/>
    <w:uiPriority w:val="1"/>
    <w:qFormat/>
    <w:rsid w:val="00EC1DD4"/>
    <w:pPr>
      <w:keepNext/>
      <w:keepLines/>
      <w:spacing w:before="240" w:after="90" w:line="320" w:lineRule="atLeast"/>
      <w:outlineLvl w:val="1"/>
    </w:pPr>
    <w:rPr>
      <w:rFonts w:ascii="Arial" w:hAnsi="Arial"/>
      <w:b/>
      <w:color w:val="1D1937"/>
      <w:sz w:val="28"/>
      <w:szCs w:val="28"/>
      <w:lang w:eastAsia="en-US"/>
    </w:rPr>
  </w:style>
  <w:style w:type="paragraph" w:styleId="Heading3">
    <w:name w:val="heading 3"/>
    <w:next w:val="VDWC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VDWCbody"/>
    <w:link w:val="Heading4Char"/>
    <w:uiPriority w:val="1"/>
    <w:qFormat/>
    <w:rsid w:val="00B92A0C"/>
    <w:pPr>
      <w:keepNext/>
      <w:keepLines/>
      <w:spacing w:before="240" w:after="120" w:line="240" w:lineRule="atLeast"/>
      <w:outlineLvl w:val="3"/>
    </w:pPr>
    <w:rPr>
      <w:rFonts w:ascii="Arial" w:eastAsia="MS Mincho" w:hAnsi="Arial"/>
      <w:b/>
      <w:bCs/>
      <w:sz w:val="21"/>
      <w:lang w:eastAsia="en-US"/>
    </w:rPr>
  </w:style>
  <w:style w:type="paragraph" w:styleId="Heading5">
    <w:name w:val="heading 5"/>
    <w:next w:val="VDWCbody"/>
    <w:link w:val="Heading5Char"/>
    <w:uiPriority w:val="98"/>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semiHidden/>
    <w:unhideWhenUsed/>
    <w:qFormat/>
    <w:rsid w:val="008E2DE1"/>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C1DD4"/>
    <w:rPr>
      <w:rFonts w:ascii="Arial" w:hAnsi="Arial"/>
      <w:bCs/>
      <w:color w:val="1D1937"/>
      <w:sz w:val="44"/>
      <w:szCs w:val="44"/>
      <w:lang w:eastAsia="en-US"/>
    </w:rPr>
  </w:style>
  <w:style w:type="character" w:customStyle="1" w:styleId="Heading2Char">
    <w:name w:val="Heading 2 Char"/>
    <w:link w:val="Heading2"/>
    <w:uiPriority w:val="1"/>
    <w:rsid w:val="00EC1DD4"/>
    <w:rPr>
      <w:rFonts w:ascii="Arial" w:hAnsi="Arial"/>
      <w:b/>
      <w:color w:val="1D1937"/>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B92A0C"/>
    <w:rPr>
      <w:rFonts w:ascii="Arial" w:eastAsia="MS Mincho" w:hAnsi="Arial"/>
      <w:b/>
      <w:bCs/>
      <w:sz w:val="21"/>
      <w:lang w:eastAsia="en-US"/>
    </w:rPr>
  </w:style>
  <w:style w:type="paragraph" w:styleId="Header">
    <w:name w:val="header"/>
    <w:basedOn w:val="VDWCheader"/>
    <w:link w:val="HeaderChar"/>
    <w:uiPriority w:val="10"/>
    <w:rsid w:val="004E380D"/>
  </w:style>
  <w:style w:type="paragraph" w:styleId="Footer">
    <w:name w:val="footer"/>
    <w:basedOn w:val="VDWCfooter"/>
    <w:link w:val="FooterChar"/>
    <w:uiPriority w:val="8"/>
    <w:rsid w:val="0031753A"/>
  </w:style>
  <w:style w:type="character" w:styleId="FollowedHyperlink">
    <w:name w:val="FollowedHyperlink"/>
    <w:uiPriority w:val="99"/>
    <w:rsid w:val="007F6862"/>
    <w:rPr>
      <w:color w:val="87189D"/>
      <w:u w:val="dotted"/>
    </w:rPr>
  </w:style>
  <w:style w:type="paragraph" w:customStyle="1" w:styleId="VDWCtabletext6pt">
    <w:name w:val="VDWC table text + 6pt"/>
    <w:basedOn w:val="VDWC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aliases w:val="CV table"/>
    <w:basedOn w:val="TableNormal"/>
    <w:rsid w:val="00EC1DD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vAlign w:val="bottom"/>
      </w:tcPr>
    </w:tblStylePr>
  </w:style>
  <w:style w:type="character" w:styleId="PageNumber">
    <w:name w:val="page number"/>
    <w:basedOn w:val="DefaultParagraphFont"/>
    <w:uiPriority w:val="99"/>
    <w:semiHidden/>
    <w:rsid w:val="00DA7946"/>
  </w:style>
  <w:style w:type="paragraph" w:customStyle="1" w:styleId="VDWCreportsubtitle">
    <w:name w:val="VDWC report subtitle"/>
    <w:basedOn w:val="Normal"/>
    <w:uiPriority w:val="4"/>
    <w:rsid w:val="00EC1DD4"/>
    <w:pPr>
      <w:spacing w:after="120"/>
    </w:pPr>
    <w:rPr>
      <w:rFonts w:ascii="Arial" w:hAnsi="Arial"/>
      <w:color w:val="000000"/>
      <w:sz w:val="22"/>
      <w:szCs w:val="22"/>
    </w:rPr>
  </w:style>
  <w:style w:type="character" w:styleId="FootnoteReference">
    <w:name w:val="footnote reference"/>
    <w:uiPriority w:val="8"/>
    <w:rsid w:val="00D869F2"/>
    <w:rPr>
      <w:vertAlign w:val="superscript"/>
    </w:rPr>
  </w:style>
  <w:style w:type="paragraph" w:customStyle="1" w:styleId="VDWCreportmaintitle">
    <w:name w:val="VDWC report main title"/>
    <w:uiPriority w:val="4"/>
    <w:rsid w:val="00EC1DD4"/>
    <w:pPr>
      <w:keepLines/>
      <w:spacing w:after="240"/>
    </w:pPr>
    <w:rPr>
      <w:rFonts w:ascii="Arial" w:hAnsi="Arial"/>
      <w:color w:val="1D1937"/>
      <w:sz w:val="40"/>
      <w:szCs w:val="40"/>
      <w:lang w:eastAsia="en-US"/>
    </w:rPr>
  </w:style>
  <w:style w:type="paragraph" w:styleId="FootnoteText">
    <w:name w:val="footnote text"/>
    <w:basedOn w:val="Normal"/>
    <w:link w:val="FootnoteTextChar"/>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DE7B07"/>
    <w:pPr>
      <w:keepNext/>
      <w:keepLines/>
      <w:tabs>
        <w:tab w:val="right" w:leader="dot" w:pos="9299"/>
      </w:tabs>
      <w:spacing w:before="160" w:after="60" w:line="270" w:lineRule="atLeast"/>
    </w:pPr>
    <w:rPr>
      <w:rFonts w:ascii="Arial" w:hAnsi="Arial"/>
      <w:b/>
      <w:noProof/>
    </w:rPr>
  </w:style>
  <w:style w:type="paragraph" w:styleId="TOC2">
    <w:name w:val="toc 2"/>
    <w:basedOn w:val="Normal"/>
    <w:next w:val="Normal"/>
    <w:uiPriority w:val="39"/>
    <w:rsid w:val="00DE7B07"/>
    <w:pPr>
      <w:keepNext/>
      <w:keepLines/>
      <w:tabs>
        <w:tab w:val="right" w:leader="dot" w:pos="9299"/>
      </w:tabs>
      <w:spacing w:after="60" w:line="270" w:lineRule="atLeast"/>
    </w:pPr>
    <w:rPr>
      <w:rFonts w:ascii="Arial" w:hAnsi="Arial"/>
      <w:noProof/>
    </w:rPr>
  </w:style>
  <w:style w:type="paragraph" w:styleId="TOC3">
    <w:name w:val="toc 3"/>
    <w:basedOn w:val="Normal"/>
    <w:next w:val="Normal"/>
    <w:uiPriority w:val="39"/>
    <w:rsid w:val="00DE7B07"/>
    <w:pPr>
      <w:keepLines/>
      <w:tabs>
        <w:tab w:val="right" w:leader="dot" w:pos="9299"/>
      </w:tabs>
      <w:spacing w:after="60" w:line="270" w:lineRule="atLeast"/>
      <w:ind w:left="284"/>
    </w:pPr>
    <w:rPr>
      <w:rFonts w:ascii="Arial" w:hAnsi="Arial" w:cs="Arial"/>
    </w:rPr>
  </w:style>
  <w:style w:type="paragraph" w:styleId="TOC4">
    <w:name w:val="toc 4"/>
    <w:basedOn w:val="TOC3"/>
    <w:uiPriority w:val="39"/>
    <w:rsid w:val="00B126CB"/>
    <w:pPr>
      <w:ind w:left="567"/>
    </w:pPr>
  </w:style>
  <w:style w:type="paragraph" w:styleId="TOC5">
    <w:name w:val="toc 5"/>
    <w:basedOn w:val="TOC4"/>
    <w:rsid w:val="00B126CB"/>
    <w:pPr>
      <w:ind w:left="851"/>
    </w:pPr>
  </w:style>
  <w:style w:type="paragraph" w:styleId="TOC6">
    <w:name w:val="toc 6"/>
    <w:basedOn w:val="Normal"/>
    <w:next w:val="Normal"/>
    <w:autoRedefine/>
    <w:uiPriority w:val="39"/>
    <w:semiHidden/>
    <w:rsid w:val="00862D33"/>
    <w:pPr>
      <w:ind w:left="1000"/>
    </w:pPr>
  </w:style>
  <w:style w:type="paragraph" w:styleId="TOC7">
    <w:name w:val="toc 7"/>
    <w:basedOn w:val="Normal"/>
    <w:next w:val="Normal"/>
    <w:autoRedefine/>
    <w:uiPriority w:val="39"/>
    <w:semiHidden/>
    <w:rsid w:val="00862D33"/>
    <w:pPr>
      <w:ind w:left="1200"/>
    </w:pPr>
  </w:style>
  <w:style w:type="paragraph" w:styleId="TOC8">
    <w:name w:val="toc 8"/>
    <w:basedOn w:val="Normal"/>
    <w:next w:val="Normal"/>
    <w:autoRedefine/>
    <w:uiPriority w:val="39"/>
    <w:semiHidden/>
    <w:rsid w:val="00862D33"/>
    <w:pPr>
      <w:ind w:left="1400"/>
    </w:pPr>
  </w:style>
  <w:style w:type="paragraph" w:styleId="TOC9">
    <w:name w:val="toc 9"/>
    <w:basedOn w:val="Normal"/>
    <w:next w:val="Normal"/>
    <w:autoRedefine/>
    <w:uiPriority w:val="39"/>
    <w:semiHidden/>
    <w:rsid w:val="00862D33"/>
    <w:pPr>
      <w:ind w:left="1600"/>
    </w:pPr>
  </w:style>
  <w:style w:type="paragraph" w:customStyle="1" w:styleId="VDWCreportmaintitlewhite">
    <w:name w:val="VDWC report main title white"/>
    <w:uiPriority w:val="4"/>
    <w:rsid w:val="00EC1DD4"/>
    <w:pPr>
      <w:keepLines/>
      <w:spacing w:after="240"/>
    </w:pPr>
    <w:rPr>
      <w:rFonts w:ascii="Arial" w:hAnsi="Arial"/>
      <w:bCs/>
      <w:color w:val="FFFFFF"/>
      <w:sz w:val="40"/>
      <w:szCs w:val="50"/>
      <w:lang w:eastAsia="en-US"/>
    </w:rPr>
  </w:style>
  <w:style w:type="paragraph" w:customStyle="1" w:styleId="VDWCreportsubtitlewhite">
    <w:name w:val="VDWC report subtitle white"/>
    <w:uiPriority w:val="4"/>
    <w:rsid w:val="00EC1DD4"/>
    <w:pPr>
      <w:spacing w:after="120"/>
    </w:pPr>
    <w:rPr>
      <w:rFonts w:ascii="Arial" w:hAnsi="Arial"/>
      <w:bCs/>
      <w:color w:val="FFFFFF"/>
      <w:sz w:val="22"/>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8"/>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VDWCbody">
    <w:name w:val="VDWC body"/>
    <w:qFormat/>
    <w:rsid w:val="00DB6F95"/>
    <w:pPr>
      <w:spacing w:after="120" w:line="270" w:lineRule="atLeast"/>
    </w:pPr>
    <w:rPr>
      <w:rFonts w:ascii="Arial" w:eastAsia="Times" w:hAnsi="Arial"/>
      <w:sz w:val="22"/>
      <w:lang w:eastAsia="en-US"/>
    </w:rPr>
  </w:style>
  <w:style w:type="paragraph" w:customStyle="1" w:styleId="VDWCbullet1">
    <w:name w:val="VDWC bullet 1"/>
    <w:basedOn w:val="VDWCbody"/>
    <w:qFormat/>
    <w:rsid w:val="00F126F2"/>
    <w:pPr>
      <w:numPr>
        <w:numId w:val="1"/>
      </w:numPr>
      <w:spacing w:after="40"/>
    </w:pPr>
  </w:style>
  <w:style w:type="paragraph" w:customStyle="1" w:styleId="VDWCnumberloweralpha">
    <w:name w:val="VDWC number lower alpha"/>
    <w:basedOn w:val="VDWCbody"/>
    <w:uiPriority w:val="3"/>
    <w:rsid w:val="00F126F2"/>
    <w:pPr>
      <w:numPr>
        <w:numId w:val="3"/>
      </w:numPr>
    </w:pPr>
  </w:style>
  <w:style w:type="paragraph" w:customStyle="1" w:styleId="VDWCnumberloweralphaindent">
    <w:name w:val="VDWC number lower alpha indent"/>
    <w:basedOn w:val="VDWCbody"/>
    <w:uiPriority w:val="3"/>
    <w:rsid w:val="00F126F2"/>
    <w:pPr>
      <w:numPr>
        <w:ilvl w:val="1"/>
        <w:numId w:val="3"/>
      </w:numPr>
    </w:pPr>
  </w:style>
  <w:style w:type="paragraph" w:customStyle="1" w:styleId="VDWCtablefigurenote">
    <w:name w:val="VDWC table/figure note"/>
    <w:uiPriority w:val="4"/>
    <w:rsid w:val="008A5B97"/>
    <w:pPr>
      <w:spacing w:before="60" w:after="60" w:line="240" w:lineRule="exact"/>
    </w:pPr>
    <w:rPr>
      <w:rFonts w:ascii="Arial" w:hAnsi="Arial"/>
      <w:sz w:val="18"/>
      <w:lang w:eastAsia="en-US"/>
    </w:rPr>
  </w:style>
  <w:style w:type="paragraph" w:customStyle="1" w:styleId="VDWCtabletext">
    <w:name w:val="VDWC table text"/>
    <w:uiPriority w:val="3"/>
    <w:qFormat/>
    <w:rsid w:val="00AB035C"/>
    <w:pPr>
      <w:spacing w:before="80" w:after="60"/>
    </w:pPr>
    <w:rPr>
      <w:rFonts w:ascii="Arial" w:hAnsi="Arial"/>
      <w:sz w:val="21"/>
      <w:lang w:eastAsia="en-US"/>
    </w:rPr>
  </w:style>
  <w:style w:type="paragraph" w:customStyle="1" w:styleId="VDWCtablecaption">
    <w:name w:val="VDWC table caption"/>
    <w:next w:val="VDWCbody"/>
    <w:uiPriority w:val="3"/>
    <w:qFormat/>
    <w:rsid w:val="00DB6F95"/>
    <w:pPr>
      <w:keepNext/>
      <w:keepLines/>
      <w:spacing w:before="240" w:after="120" w:line="240" w:lineRule="atLeast"/>
    </w:pPr>
    <w:rPr>
      <w:rFonts w:ascii="Arial" w:hAnsi="Arial"/>
      <w:b/>
      <w:sz w:val="22"/>
      <w:lang w:eastAsia="en-US"/>
    </w:rPr>
  </w:style>
  <w:style w:type="paragraph" w:customStyle="1" w:styleId="VDWCfigurecaption">
    <w:name w:val="VDWC figure caption"/>
    <w:next w:val="VDWCbody"/>
    <w:rsid w:val="00DB6F95"/>
    <w:pPr>
      <w:keepNext/>
      <w:keepLines/>
      <w:spacing w:before="240" w:after="120"/>
    </w:pPr>
    <w:rPr>
      <w:rFonts w:ascii="Arial" w:hAnsi="Arial"/>
      <w:b/>
      <w:sz w:val="22"/>
      <w:lang w:eastAsia="en-US"/>
    </w:rPr>
  </w:style>
  <w:style w:type="paragraph" w:customStyle="1" w:styleId="VDWCfooter">
    <w:name w:val="VDWC footer"/>
    <w:uiPriority w:val="11"/>
    <w:rsid w:val="00E969B1"/>
    <w:pPr>
      <w:tabs>
        <w:tab w:val="right" w:pos="9299"/>
      </w:tabs>
    </w:pPr>
    <w:rPr>
      <w:rFonts w:ascii="Arial" w:hAnsi="Arial" w:cs="Arial"/>
      <w:sz w:val="18"/>
      <w:szCs w:val="18"/>
      <w:lang w:eastAsia="en-US"/>
    </w:rPr>
  </w:style>
  <w:style w:type="paragraph" w:customStyle="1" w:styleId="VDWCbullet2">
    <w:name w:val="VDWC bullet 2"/>
    <w:basedOn w:val="VDWCbody"/>
    <w:uiPriority w:val="2"/>
    <w:qFormat/>
    <w:rsid w:val="00F126F2"/>
    <w:pPr>
      <w:numPr>
        <w:ilvl w:val="1"/>
        <w:numId w:val="1"/>
      </w:numPr>
      <w:spacing w:after="40"/>
    </w:pPr>
  </w:style>
  <w:style w:type="paragraph" w:customStyle="1" w:styleId="VDWCheader">
    <w:name w:val="VDWC header"/>
    <w:basedOn w:val="VDWCfooter"/>
    <w:uiPriority w:val="11"/>
    <w:rsid w:val="00E969B1"/>
  </w:style>
  <w:style w:type="character" w:styleId="Strong">
    <w:name w:val="Strong"/>
    <w:uiPriority w:val="99"/>
    <w:qFormat/>
    <w:rsid w:val="00DC19D8"/>
    <w:rPr>
      <w:b/>
      <w:bCs/>
    </w:rPr>
  </w:style>
  <w:style w:type="paragraph" w:customStyle="1" w:styleId="VDWCnumberdigit">
    <w:name w:val="VDWC number digit"/>
    <w:basedOn w:val="VDWCbody"/>
    <w:uiPriority w:val="2"/>
    <w:rsid w:val="00EC1DD4"/>
    <w:pPr>
      <w:numPr>
        <w:numId w:val="2"/>
      </w:numPr>
    </w:pPr>
  </w:style>
  <w:style w:type="paragraph" w:customStyle="1" w:styleId="VDWCtablecolhead">
    <w:name w:val="VDWC table col head"/>
    <w:uiPriority w:val="3"/>
    <w:qFormat/>
    <w:rsid w:val="00AB035C"/>
    <w:pPr>
      <w:spacing w:before="80" w:after="60"/>
    </w:pPr>
    <w:rPr>
      <w:rFonts w:ascii="Arial" w:hAnsi="Arial"/>
      <w:b/>
      <w:color w:val="1D1937"/>
      <w:sz w:val="21"/>
      <w:lang w:eastAsia="en-US"/>
    </w:rPr>
  </w:style>
  <w:style w:type="paragraph" w:customStyle="1" w:styleId="VDWCbodyaftertablefigure">
    <w:name w:val="VDWC body after table/figure"/>
    <w:basedOn w:val="VDWCbody"/>
    <w:next w:val="VDWCbody"/>
    <w:rsid w:val="00876275"/>
    <w:pPr>
      <w:spacing w:before="240"/>
    </w:pPr>
  </w:style>
  <w:style w:type="paragraph" w:customStyle="1" w:styleId="VDWCTOCheadingreport">
    <w:name w:val="VDWC TOC heading report"/>
    <w:basedOn w:val="Heading1"/>
    <w:link w:val="VDWCTOCheadingreportChar"/>
    <w:uiPriority w:val="5"/>
    <w:rsid w:val="00EC1DD4"/>
    <w:pPr>
      <w:spacing w:before="0"/>
      <w:outlineLvl w:val="9"/>
    </w:pPr>
  </w:style>
  <w:style w:type="character" w:customStyle="1" w:styleId="VDWCTOCheadingreportChar">
    <w:name w:val="VDWC TOC heading report Char"/>
    <w:link w:val="VDWCTOCheadingreport"/>
    <w:uiPriority w:val="5"/>
    <w:rsid w:val="00EC1DD4"/>
    <w:rPr>
      <w:rFonts w:ascii="Arial" w:hAnsi="Arial"/>
      <w:bCs/>
      <w:color w:val="1D1937"/>
      <w:sz w:val="44"/>
      <w:szCs w:val="44"/>
      <w:lang w:eastAsia="en-US"/>
    </w:rPr>
  </w:style>
  <w:style w:type="paragraph" w:customStyle="1" w:styleId="VDWCaccessibilitypara">
    <w:name w:val="VDWC accessibility para"/>
    <w:uiPriority w:val="8"/>
    <w:rsid w:val="00B0300B"/>
    <w:pPr>
      <w:spacing w:after="300" w:line="300" w:lineRule="atLeast"/>
    </w:pPr>
    <w:rPr>
      <w:rFonts w:ascii="Arial" w:eastAsia="Times" w:hAnsi="Arial"/>
      <w:sz w:val="24"/>
      <w:szCs w:val="19"/>
      <w:lang w:eastAsia="en-US"/>
    </w:rPr>
  </w:style>
  <w:style w:type="paragraph" w:customStyle="1" w:styleId="VDWCbodynospace">
    <w:name w:val="VDWC body no space"/>
    <w:basedOn w:val="VDWCbody"/>
    <w:qFormat/>
    <w:rsid w:val="00CA6D4E"/>
    <w:pPr>
      <w:spacing w:after="0"/>
    </w:pPr>
  </w:style>
  <w:style w:type="paragraph" w:customStyle="1" w:styleId="VDWCquote">
    <w:name w:val="VDWC quote"/>
    <w:basedOn w:val="VDWCbody"/>
    <w:uiPriority w:val="4"/>
    <w:rsid w:val="00E75ED2"/>
    <w:pPr>
      <w:ind w:left="397"/>
    </w:pPr>
    <w:rPr>
      <w:szCs w:val="18"/>
    </w:rPr>
  </w:style>
  <w:style w:type="numbering" w:customStyle="1" w:styleId="ZZBullets">
    <w:name w:val="ZZ Bullets"/>
    <w:rsid w:val="00F126F2"/>
    <w:pPr>
      <w:numPr>
        <w:numId w:val="1"/>
      </w:numPr>
    </w:pPr>
  </w:style>
  <w:style w:type="paragraph" w:customStyle="1" w:styleId="VDWCnumberlowerroman">
    <w:name w:val="VDWC number lower roman"/>
    <w:basedOn w:val="VDWCbody"/>
    <w:uiPriority w:val="3"/>
    <w:rsid w:val="00F126F2"/>
    <w:pPr>
      <w:numPr>
        <w:numId w:val="4"/>
      </w:numPr>
    </w:pPr>
  </w:style>
  <w:style w:type="paragraph" w:customStyle="1" w:styleId="VDWCnumberlowerromanindent">
    <w:name w:val="VDWC number lower roman indent"/>
    <w:basedOn w:val="VDWCbody"/>
    <w:uiPriority w:val="3"/>
    <w:rsid w:val="00F126F2"/>
    <w:pPr>
      <w:numPr>
        <w:ilvl w:val="1"/>
        <w:numId w:val="4"/>
      </w:numPr>
    </w:pPr>
  </w:style>
  <w:style w:type="paragraph" w:customStyle="1" w:styleId="VDWCnumberdigitindent">
    <w:name w:val="VDWC number digit indent"/>
    <w:basedOn w:val="VDWCnumberloweralphaindent"/>
    <w:uiPriority w:val="3"/>
    <w:rsid w:val="00EC1DD4"/>
    <w:pPr>
      <w:numPr>
        <w:numId w:val="2"/>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paragraph" w:customStyle="1" w:styleId="VDWCbodyafterbullets">
    <w:name w:val="VDWC body after bullets"/>
    <w:basedOn w:val="VDWCbody"/>
    <w:qFormat/>
    <w:rsid w:val="008669BE"/>
    <w:pPr>
      <w:spacing w:before="120"/>
    </w:pPr>
  </w:style>
  <w:style w:type="paragraph" w:customStyle="1" w:styleId="VDWCbulletafternumbers1">
    <w:name w:val="VDWC bullet after numbers 1"/>
    <w:basedOn w:val="VDWCbody"/>
    <w:uiPriority w:val="4"/>
    <w:rsid w:val="00EC1DD4"/>
    <w:pPr>
      <w:numPr>
        <w:ilvl w:val="2"/>
        <w:numId w:val="2"/>
      </w:numPr>
    </w:pPr>
  </w:style>
  <w:style w:type="paragraph" w:customStyle="1" w:styleId="VDWCbulletafternumbers2">
    <w:name w:val="VDWC bullet after numbers 2"/>
    <w:basedOn w:val="VDWCbody"/>
    <w:rsid w:val="00EC1DD4"/>
    <w:pPr>
      <w:numPr>
        <w:ilvl w:val="3"/>
        <w:numId w:val="2"/>
      </w:numPr>
    </w:pPr>
  </w:style>
  <w:style w:type="paragraph" w:customStyle="1" w:styleId="VDWCquotebullet1">
    <w:name w:val="VDWC quote bullet 1"/>
    <w:basedOn w:val="VDWCquote"/>
    <w:rsid w:val="00F126F2"/>
    <w:pPr>
      <w:numPr>
        <w:numId w:val="5"/>
      </w:numPr>
    </w:pPr>
  </w:style>
  <w:style w:type="paragraph" w:customStyle="1" w:styleId="VDWCquotebullet2">
    <w:name w:val="VDWC quote bullet 2"/>
    <w:basedOn w:val="VDWCquote"/>
    <w:rsid w:val="00F126F2"/>
    <w:pPr>
      <w:numPr>
        <w:ilvl w:val="1"/>
        <w:numId w:val="5"/>
      </w:numPr>
    </w:pPr>
  </w:style>
  <w:style w:type="paragraph" w:customStyle="1" w:styleId="VDWCtablebullet1">
    <w:name w:val="VDWC table bullet 1"/>
    <w:basedOn w:val="VDWCtabletext"/>
    <w:uiPriority w:val="3"/>
    <w:qFormat/>
    <w:rsid w:val="00AB035C"/>
    <w:pPr>
      <w:numPr>
        <w:numId w:val="6"/>
      </w:numPr>
    </w:pPr>
  </w:style>
  <w:style w:type="paragraph" w:customStyle="1" w:styleId="VDWCtablebullet2">
    <w:name w:val="VDWC table bullet 2"/>
    <w:basedOn w:val="VDWCtabletext"/>
    <w:uiPriority w:val="11"/>
    <w:rsid w:val="00F126F2"/>
    <w:pPr>
      <w:numPr>
        <w:ilvl w:val="1"/>
        <w:numId w:val="6"/>
      </w:numPr>
    </w:pPr>
  </w:style>
  <w:style w:type="numbering" w:customStyle="1" w:styleId="ZZNumbersloweralpha">
    <w:name w:val="ZZ Numbers lower alpha"/>
    <w:basedOn w:val="NoList"/>
    <w:rsid w:val="00F126F2"/>
    <w:pPr>
      <w:numPr>
        <w:numId w:val="3"/>
      </w:numPr>
    </w:pPr>
  </w:style>
  <w:style w:type="numbering" w:customStyle="1" w:styleId="ZZQuotebullets">
    <w:name w:val="ZZ Quote bullets"/>
    <w:basedOn w:val="NoList"/>
    <w:rsid w:val="00F126F2"/>
    <w:pPr>
      <w:numPr>
        <w:numId w:val="5"/>
      </w:numPr>
    </w:pPr>
  </w:style>
  <w:style w:type="numbering" w:customStyle="1" w:styleId="ZZNumberslowerroman">
    <w:name w:val="ZZ Numbers lower roman"/>
    <w:basedOn w:val="ZZQuotebullets"/>
    <w:rsid w:val="00F126F2"/>
    <w:pPr>
      <w:numPr>
        <w:numId w:val="4"/>
      </w:numPr>
    </w:pPr>
  </w:style>
  <w:style w:type="numbering" w:customStyle="1" w:styleId="ZZTablebullets">
    <w:name w:val="ZZ Table bullets"/>
    <w:basedOn w:val="NoList"/>
    <w:rsid w:val="00F126F2"/>
    <w:pPr>
      <w:numPr>
        <w:numId w:val="6"/>
      </w:numPr>
    </w:pPr>
  </w:style>
  <w:style w:type="paragraph" w:styleId="CommentText">
    <w:name w:val="annotation text"/>
    <w:basedOn w:val="Normal"/>
    <w:link w:val="CommentTextChar"/>
    <w:uiPriority w:val="99"/>
    <w:unhideWhenUsed/>
    <w:rsid w:val="004948CA"/>
  </w:style>
  <w:style w:type="table" w:customStyle="1" w:styleId="Tealtable">
    <w:name w:val="Teal table"/>
    <w:basedOn w:val="TableNormal"/>
    <w:next w:val="TableGrid"/>
    <w:uiPriority w:val="39"/>
    <w:rsid w:val="009334F1"/>
    <w:rPr>
      <w:rFonts w:ascii="Arial" w:eastAsia="Segoe UI" w:hAnsi="Arial"/>
      <w:sz w:val="22"/>
      <w:szCs w:val="22"/>
      <w:lang w:val="en-US" w:eastAsia="en-US"/>
    </w:rPr>
    <w:tblPr>
      <w:tblStyleRowBandSize w:val="1"/>
      <w:tblInd w:w="0" w:type="nil"/>
      <w:tblBorders>
        <w:bottom w:val="single" w:sz="24" w:space="0" w:color="398E8B"/>
      </w:tblBorders>
      <w:tblCellMar>
        <w:top w:w="57" w:type="dxa"/>
        <w:left w:w="85" w:type="dxa"/>
        <w:bottom w:w="57" w:type="dxa"/>
        <w:right w:w="85" w:type="dxa"/>
      </w:tblCellMar>
    </w:tblPr>
    <w:tblStylePr w:type="firstRow">
      <w:pPr>
        <w:jc w:val="left"/>
      </w:pPr>
      <w:rPr>
        <w:rFonts w:ascii="Arial" w:hAnsi="Arial" w:hint="default"/>
        <w:b w:val="0"/>
        <w:color w:val="auto"/>
        <w:sz w:val="22"/>
        <w:szCs w:val="18"/>
      </w:rPr>
      <w:tblPr/>
      <w:tcPr>
        <w:tcBorders>
          <w:top w:val="single" w:sz="24" w:space="0" w:color="398E8B"/>
          <w:left w:val="nil"/>
          <w:bottom w:val="nil"/>
          <w:right w:val="nil"/>
          <w:insideH w:val="nil"/>
          <w:insideV w:val="nil"/>
          <w:tl2br w:val="nil"/>
          <w:tr2bl w:val="nil"/>
        </w:tcBorders>
        <w:shd w:val="clear" w:color="auto" w:fill="E6E6E1"/>
      </w:tcPr>
    </w:tblStylePr>
    <w:tblStylePr w:type="lastRow">
      <w:rPr>
        <w:b/>
        <w:sz w:val="22"/>
      </w:rPr>
      <w:tblPr/>
      <w:tcPr>
        <w:tcBorders>
          <w:top w:val="single" w:sz="8" w:space="0" w:color="398E8B"/>
        </w:tcBorders>
      </w:tcPr>
    </w:tblStylePr>
    <w:tblStylePr w:type="firstCol">
      <w:rPr>
        <w:sz w:val="22"/>
      </w:rPr>
      <w:tblPr/>
      <w:tcPr>
        <w:shd w:val="clear" w:color="auto" w:fill="F2F2F2"/>
      </w:tcPr>
    </w:tblStylePr>
    <w:tblStylePr w:type="lastCol">
      <w:rPr>
        <w:sz w:val="22"/>
      </w:r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 w:type="character" w:customStyle="1" w:styleId="CommentTextChar">
    <w:name w:val="Comment Text Char"/>
    <w:basedOn w:val="DefaultParagraphFont"/>
    <w:link w:val="CommentText"/>
    <w:uiPriority w:val="99"/>
    <w:rsid w:val="004948CA"/>
    <w:rPr>
      <w:rFonts w:ascii="Cambria" w:hAnsi="Cambria"/>
      <w:lang w:eastAsia="en-US"/>
    </w:rPr>
  </w:style>
  <w:style w:type="character" w:styleId="CommentReference">
    <w:name w:val="annotation reference"/>
    <w:basedOn w:val="DefaultParagraphFont"/>
    <w:uiPriority w:val="99"/>
    <w:semiHidden/>
    <w:unhideWhenUsed/>
    <w:rsid w:val="007028A1"/>
    <w:rPr>
      <w:sz w:val="16"/>
      <w:szCs w:val="16"/>
    </w:rPr>
  </w:style>
  <w:style w:type="table" w:customStyle="1" w:styleId="Purpletable">
    <w:name w:val="Purple table"/>
    <w:basedOn w:val="TableNormal"/>
    <w:next w:val="TableGrid"/>
    <w:uiPriority w:val="39"/>
    <w:rsid w:val="007028A1"/>
    <w:rPr>
      <w:rFonts w:ascii="Arial" w:eastAsia="Segoe UI" w:hAnsi="Arial"/>
      <w:sz w:val="23"/>
      <w:szCs w:val="22"/>
      <w:lang w:val="en-US" w:eastAsia="en-US"/>
    </w:rPr>
    <w:tblPr>
      <w:tblStyleRowBandSize w:val="1"/>
      <w:tblInd w:w="0" w:type="nil"/>
      <w:tblCellMar>
        <w:top w:w="57" w:type="dxa"/>
        <w:left w:w="85" w:type="dxa"/>
        <w:bottom w:w="57" w:type="dxa"/>
        <w:right w:w="85" w:type="dxa"/>
      </w:tblCellMar>
    </w:tblPr>
    <w:tblStylePr w:type="firstRow">
      <w:pPr>
        <w:jc w:val="left"/>
      </w:pPr>
      <w:rPr>
        <w:rFonts w:ascii="Arial" w:hAnsi="Arial" w:hint="default"/>
        <w:b w:val="0"/>
        <w:color w:val="00264D"/>
        <w:sz w:val="18"/>
        <w:szCs w:val="18"/>
      </w:rPr>
      <w:tblPr/>
      <w:tcPr>
        <w:tcBorders>
          <w:top w:val="single" w:sz="18" w:space="0" w:color="87189D"/>
          <w:left w:val="nil"/>
          <w:bottom w:val="single" w:sz="4" w:space="0" w:color="87189D"/>
          <w:right w:val="nil"/>
          <w:insideH w:val="nil"/>
          <w:insideV w:val="nil"/>
          <w:tl2br w:val="nil"/>
          <w:tr2bl w:val="nil"/>
        </w:tcBorders>
        <w:shd w:val="clear" w:color="auto" w:fill="E6E6E1"/>
      </w:tcPr>
    </w:tblStylePr>
    <w:tblStylePr w:type="lastRow">
      <w:rPr>
        <w:b/>
      </w:rPr>
      <w:tblPr/>
      <w:tcPr>
        <w:tcBorders>
          <w:top w:val="single" w:sz="4" w:space="0" w:color="87189D"/>
        </w:tcBorders>
      </w:tcPr>
    </w:tblStylePr>
    <w:tblStylePr w:type="firstCol">
      <w:tblPr/>
      <w:tcPr>
        <w:shd w:val="clear" w:color="auto" w:fill="F2F2F2"/>
      </w:tc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 w:type="paragraph" w:styleId="CommentSubject">
    <w:name w:val="annotation subject"/>
    <w:basedOn w:val="CommentText"/>
    <w:next w:val="CommentText"/>
    <w:link w:val="CommentSubjectChar"/>
    <w:uiPriority w:val="99"/>
    <w:semiHidden/>
    <w:unhideWhenUsed/>
    <w:rsid w:val="004948CA"/>
    <w:rPr>
      <w:b/>
      <w:bCs/>
    </w:rPr>
  </w:style>
  <w:style w:type="character" w:customStyle="1" w:styleId="CommentSubjectChar">
    <w:name w:val="Comment Subject Char"/>
    <w:basedOn w:val="CommentTextChar"/>
    <w:link w:val="CommentSubject"/>
    <w:uiPriority w:val="99"/>
    <w:semiHidden/>
    <w:rsid w:val="004948CA"/>
    <w:rPr>
      <w:rFonts w:ascii="Cambria" w:hAnsi="Cambria"/>
      <w:b/>
      <w:bCs/>
      <w:lang w:eastAsia="en-US"/>
    </w:rPr>
  </w:style>
  <w:style w:type="paragraph" w:customStyle="1" w:styleId="Quotetext">
    <w:name w:val="Quote text"/>
    <w:basedOn w:val="VDWCbody"/>
    <w:uiPriority w:val="4"/>
    <w:rsid w:val="001C241F"/>
    <w:pPr>
      <w:pBdr>
        <w:top w:val="single" w:sz="18" w:space="1" w:color="398E8B"/>
        <w:bottom w:val="single" w:sz="18" w:space="1" w:color="398E8B"/>
      </w:pBdr>
      <w:spacing w:before="120" w:line="280" w:lineRule="atLeast"/>
      <w:ind w:left="397" w:right="397"/>
    </w:pPr>
    <w:rPr>
      <w:b/>
      <w:sz w:val="23"/>
      <w:szCs w:val="18"/>
    </w:rPr>
  </w:style>
  <w:style w:type="paragraph" w:customStyle="1" w:styleId="Heading2notinTOC">
    <w:name w:val="Heading 2 not in TOC"/>
    <w:basedOn w:val="Heading2"/>
    <w:next w:val="VDWCbody"/>
    <w:rsid w:val="00FF642E"/>
  </w:style>
  <w:style w:type="paragraph" w:customStyle="1" w:styleId="Tablecaption">
    <w:name w:val="Table caption"/>
    <w:basedOn w:val="VDWCbody"/>
    <w:uiPriority w:val="3"/>
    <w:qFormat/>
    <w:rsid w:val="00F2667B"/>
    <w:pPr>
      <w:keepNext/>
      <w:spacing w:before="160" w:line="320" w:lineRule="atLeast"/>
    </w:pPr>
    <w:rPr>
      <w:b/>
      <w:bCs/>
      <w:sz w:val="24"/>
    </w:rPr>
  </w:style>
  <w:style w:type="character" w:customStyle="1" w:styleId="Heading6Char">
    <w:name w:val="Heading 6 Char"/>
    <w:basedOn w:val="DefaultParagraphFont"/>
    <w:link w:val="Heading6"/>
    <w:uiPriority w:val="9"/>
    <w:semiHidden/>
    <w:rsid w:val="008E2DE1"/>
    <w:rPr>
      <w:rFonts w:asciiTheme="majorHAnsi" w:eastAsiaTheme="majorEastAsia" w:hAnsiTheme="majorHAnsi" w:cstheme="majorBidi"/>
      <w:color w:val="1F3763" w:themeColor="accent1" w:themeShade="7F"/>
      <w:lang w:eastAsia="en-US"/>
    </w:rPr>
  </w:style>
  <w:style w:type="paragraph" w:customStyle="1" w:styleId="Introtext">
    <w:name w:val="Intro text"/>
    <w:basedOn w:val="Normal"/>
    <w:uiPriority w:val="11"/>
    <w:rsid w:val="008A2738"/>
    <w:pPr>
      <w:spacing w:after="120" w:line="320" w:lineRule="atLeast"/>
    </w:pPr>
    <w:rPr>
      <w:rFonts w:ascii="Arial" w:eastAsia="Times" w:hAnsi="Arial"/>
      <w:color w:val="201547"/>
      <w:sz w:val="24"/>
    </w:rPr>
  </w:style>
  <w:style w:type="paragraph" w:customStyle="1" w:styleId="paragraph">
    <w:name w:val="paragraph"/>
    <w:basedOn w:val="Normal"/>
    <w:rsid w:val="0014350F"/>
    <w:pPr>
      <w:spacing w:before="100" w:beforeAutospacing="1" w:after="100" w:afterAutospacing="1"/>
    </w:pPr>
    <w:rPr>
      <w:rFonts w:ascii="Times New Roman" w:hAnsi="Times New Roman"/>
      <w:sz w:val="24"/>
      <w:szCs w:val="24"/>
      <w:lang w:eastAsia="en-AU"/>
    </w:rPr>
  </w:style>
  <w:style w:type="paragraph" w:styleId="Revision">
    <w:name w:val="Revision"/>
    <w:hidden/>
    <w:uiPriority w:val="71"/>
    <w:rsid w:val="00660E5E"/>
    <w:rPr>
      <w:rFonts w:ascii="Cambria" w:hAnsi="Cambria"/>
      <w:lang w:eastAsia="en-US"/>
    </w:rPr>
  </w:style>
  <w:style w:type="character" w:customStyle="1" w:styleId="FootnoteTextChar">
    <w:name w:val="Footnote Text Char"/>
    <w:basedOn w:val="DefaultParagraphFont"/>
    <w:link w:val="FootnoteText"/>
    <w:uiPriority w:val="8"/>
    <w:rsid w:val="00F20AEE"/>
    <w:rPr>
      <w:rFonts w:ascii="Arial" w:eastAsia="MS Gothic" w:hAnsi="Arial" w:cs="Arial"/>
      <w:sz w:val="16"/>
      <w:szCs w:val="16"/>
      <w:lang w:eastAsia="en-US"/>
    </w:rPr>
  </w:style>
  <w:style w:type="character" w:customStyle="1" w:styleId="HeaderChar">
    <w:name w:val="Header Char"/>
    <w:basedOn w:val="DefaultParagraphFont"/>
    <w:link w:val="Header"/>
    <w:uiPriority w:val="98"/>
    <w:rsid w:val="00047989"/>
    <w:rPr>
      <w:rFonts w:ascii="Arial" w:hAnsi="Arial" w:cs="Arial"/>
      <w:sz w:val="18"/>
      <w:szCs w:val="18"/>
      <w:lang w:eastAsia="en-US"/>
    </w:rPr>
  </w:style>
  <w:style w:type="character" w:customStyle="1" w:styleId="FooterChar">
    <w:name w:val="Footer Char"/>
    <w:basedOn w:val="DefaultParagraphFont"/>
    <w:link w:val="Footer"/>
    <w:uiPriority w:val="98"/>
    <w:rsid w:val="00047989"/>
    <w:rPr>
      <w:rFonts w:ascii="Arial" w:hAnsi="Arial" w:cs="Arial"/>
      <w:sz w:val="18"/>
      <w:szCs w:val="18"/>
      <w:lang w:eastAsia="en-US"/>
    </w:rPr>
  </w:style>
  <w:style w:type="numbering" w:customStyle="1" w:styleId="ZZBullets1">
    <w:name w:val="ZZ Bullets1"/>
    <w:rsid w:val="00047989"/>
    <w:pPr>
      <w:numPr>
        <w:numId w:val="2"/>
      </w:numPr>
    </w:pPr>
  </w:style>
  <w:style w:type="numbering" w:customStyle="1" w:styleId="ZZNumbersdigit1">
    <w:name w:val="ZZ Numbers digit1"/>
    <w:rsid w:val="00047989"/>
    <w:pPr>
      <w:numPr>
        <w:numId w:val="7"/>
      </w:numPr>
    </w:pPr>
  </w:style>
  <w:style w:type="numbering" w:customStyle="1" w:styleId="ZZNumbersloweralpha1">
    <w:name w:val="ZZ Numbers lower alpha1"/>
    <w:basedOn w:val="NoList"/>
    <w:rsid w:val="00047989"/>
    <w:pPr>
      <w:numPr>
        <w:numId w:val="8"/>
      </w:numPr>
    </w:pPr>
  </w:style>
  <w:style w:type="numbering" w:customStyle="1" w:styleId="ZZQuotebullets1">
    <w:name w:val="ZZ Quote bullets1"/>
    <w:basedOn w:val="NoList"/>
    <w:rsid w:val="00047989"/>
    <w:pPr>
      <w:numPr>
        <w:numId w:val="10"/>
      </w:numPr>
    </w:pPr>
  </w:style>
  <w:style w:type="numbering" w:customStyle="1" w:styleId="ZZNumberslowerroman1">
    <w:name w:val="ZZ Numbers lower roman1"/>
    <w:basedOn w:val="ZZQuotebullets"/>
    <w:rsid w:val="00047989"/>
    <w:pPr>
      <w:numPr>
        <w:numId w:val="9"/>
      </w:numPr>
    </w:pPr>
  </w:style>
  <w:style w:type="numbering" w:customStyle="1" w:styleId="ZZTablebullets1">
    <w:name w:val="ZZ Table bullets1"/>
    <w:basedOn w:val="NoList"/>
    <w:rsid w:val="00047989"/>
    <w:pPr>
      <w:numPr>
        <w:numId w:val="11"/>
      </w:numPr>
    </w:pPr>
  </w:style>
  <w:style w:type="table" w:customStyle="1" w:styleId="TableGrid1">
    <w:name w:val="Table Grid1"/>
    <w:basedOn w:val="TableNormal"/>
    <w:next w:val="TableGrid"/>
    <w:uiPriority w:val="39"/>
    <w:rsid w:val="00C956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831D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070D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070D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unhideWhenUsed/>
    <w:rsid w:val="00A25A89"/>
    <w:rPr>
      <w:color w:val="605E5C"/>
      <w:shd w:val="clear" w:color="auto" w:fill="E1DFDD"/>
    </w:rPr>
  </w:style>
  <w:style w:type="character" w:styleId="Mention">
    <w:name w:val="Mention"/>
    <w:basedOn w:val="DefaultParagraphFont"/>
    <w:uiPriority w:val="99"/>
    <w:unhideWhenUsed/>
    <w:rsid w:val="00A25A89"/>
    <w:rPr>
      <w:color w:val="2B579A"/>
      <w:shd w:val="clear" w:color="auto" w:fill="E1DFDD"/>
    </w:rPr>
  </w:style>
  <w:style w:type="paragraph" w:customStyle="1" w:styleId="Body">
    <w:name w:val="Body"/>
    <w:link w:val="BodyChar"/>
    <w:qFormat/>
    <w:rsid w:val="005A0326"/>
    <w:pPr>
      <w:spacing w:after="120" w:line="270" w:lineRule="atLeast"/>
    </w:pPr>
    <w:rPr>
      <w:rFonts w:ascii="Arial" w:eastAsia="Times" w:hAnsi="Arial"/>
      <w:sz w:val="22"/>
      <w:lang w:eastAsia="en-US"/>
    </w:rPr>
  </w:style>
  <w:style w:type="paragraph" w:customStyle="1" w:styleId="Tabletext6pt">
    <w:name w:val="Table text + 6pt"/>
    <w:basedOn w:val="Tabletext"/>
    <w:rsid w:val="000765D4"/>
    <w:pPr>
      <w:spacing w:after="120"/>
    </w:pPr>
  </w:style>
  <w:style w:type="paragraph" w:customStyle="1" w:styleId="Bodynospace">
    <w:name w:val="Body no space"/>
    <w:basedOn w:val="Body"/>
    <w:uiPriority w:val="1"/>
    <w:rsid w:val="000765D4"/>
    <w:pPr>
      <w:spacing w:after="0"/>
    </w:pPr>
  </w:style>
  <w:style w:type="paragraph" w:customStyle="1" w:styleId="Bullet1">
    <w:name w:val="Bullet 1"/>
    <w:basedOn w:val="Body"/>
    <w:qFormat/>
    <w:rsid w:val="007E08B0"/>
    <w:pPr>
      <w:numPr>
        <w:numId w:val="15"/>
      </w:numPr>
      <w:spacing w:after="40"/>
      <w:ind w:left="284" w:hanging="284"/>
    </w:pPr>
  </w:style>
  <w:style w:type="paragraph" w:customStyle="1" w:styleId="TOCheadingfactsheet">
    <w:name w:val="TOC heading fact sheet"/>
    <w:basedOn w:val="Heading2"/>
    <w:next w:val="Body"/>
    <w:link w:val="TOCheadingfactsheetChar"/>
    <w:uiPriority w:val="4"/>
    <w:rsid w:val="000765D4"/>
    <w:pPr>
      <w:spacing w:before="360" w:after="200" w:line="330" w:lineRule="atLeast"/>
      <w:outlineLvl w:val="9"/>
    </w:pPr>
    <w:rPr>
      <w:color w:val="201547"/>
      <w:sz w:val="29"/>
    </w:rPr>
  </w:style>
  <w:style w:type="character" w:customStyle="1" w:styleId="TOCheadingfactsheetChar">
    <w:name w:val="TOC heading fact sheet Char"/>
    <w:link w:val="TOCheadingfactsheet"/>
    <w:uiPriority w:val="4"/>
    <w:rsid w:val="000765D4"/>
    <w:rPr>
      <w:rFonts w:ascii="Arial" w:hAnsi="Arial"/>
      <w:b/>
      <w:color w:val="201547"/>
      <w:sz w:val="29"/>
      <w:szCs w:val="28"/>
      <w:lang w:eastAsia="en-US"/>
    </w:rPr>
  </w:style>
  <w:style w:type="paragraph" w:customStyle="1" w:styleId="Sectionbreakfirstpage">
    <w:name w:val="Section break first page"/>
    <w:uiPriority w:val="5"/>
    <w:rsid w:val="000765D4"/>
    <w:pPr>
      <w:spacing w:after="400"/>
    </w:pPr>
    <w:rPr>
      <w:rFonts w:ascii="Arial" w:hAnsi="Arial"/>
      <w:lang w:eastAsia="en-US"/>
    </w:rPr>
  </w:style>
  <w:style w:type="paragraph" w:customStyle="1" w:styleId="Tabletext">
    <w:name w:val="Table text"/>
    <w:uiPriority w:val="3"/>
    <w:qFormat/>
    <w:rsid w:val="000765D4"/>
    <w:pPr>
      <w:spacing w:before="80" w:after="60"/>
    </w:pPr>
    <w:rPr>
      <w:rFonts w:ascii="Arial" w:hAnsi="Arial"/>
      <w:sz w:val="21"/>
      <w:lang w:eastAsia="en-US"/>
    </w:rPr>
  </w:style>
  <w:style w:type="paragraph" w:customStyle="1" w:styleId="Documenttitle">
    <w:name w:val="Document title"/>
    <w:uiPriority w:val="8"/>
    <w:rsid w:val="000765D4"/>
    <w:pPr>
      <w:spacing w:after="80" w:line="460" w:lineRule="atLeast"/>
    </w:pPr>
    <w:rPr>
      <w:rFonts w:ascii="Arial" w:hAnsi="Arial"/>
      <w:b/>
      <w:color w:val="201547"/>
      <w:sz w:val="44"/>
      <w:szCs w:val="50"/>
      <w:lang w:eastAsia="en-US"/>
    </w:rPr>
  </w:style>
  <w:style w:type="paragraph" w:customStyle="1" w:styleId="Figurecaption">
    <w:name w:val="Figure caption"/>
    <w:next w:val="Body"/>
    <w:rsid w:val="000765D4"/>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0765D4"/>
    <w:pPr>
      <w:tabs>
        <w:tab w:val="num" w:pos="1440"/>
      </w:tabs>
      <w:spacing w:after="40"/>
      <w:ind w:left="1440" w:hanging="360"/>
    </w:pPr>
  </w:style>
  <w:style w:type="paragraph" w:customStyle="1" w:styleId="Bodyafterbullets">
    <w:name w:val="Body after bullets"/>
    <w:basedOn w:val="Body"/>
    <w:uiPriority w:val="11"/>
    <w:rsid w:val="000765D4"/>
    <w:pPr>
      <w:spacing w:before="120"/>
    </w:pPr>
  </w:style>
  <w:style w:type="paragraph" w:customStyle="1" w:styleId="Tablebullet2">
    <w:name w:val="Table bullet 2"/>
    <w:basedOn w:val="Tabletext"/>
    <w:uiPriority w:val="11"/>
    <w:rsid w:val="000765D4"/>
    <w:pPr>
      <w:tabs>
        <w:tab w:val="num" w:pos="227"/>
      </w:tabs>
      <w:ind w:left="454" w:hanging="227"/>
    </w:pPr>
  </w:style>
  <w:style w:type="paragraph" w:customStyle="1" w:styleId="Tablebullet1">
    <w:name w:val="Table bullet 1"/>
    <w:basedOn w:val="Tabletext"/>
    <w:uiPriority w:val="3"/>
    <w:qFormat/>
    <w:rsid w:val="000765D4"/>
    <w:pPr>
      <w:numPr>
        <w:numId w:val="14"/>
      </w:numPr>
    </w:pPr>
  </w:style>
  <w:style w:type="paragraph" w:customStyle="1" w:styleId="Tablecolhead">
    <w:name w:val="Table col head"/>
    <w:uiPriority w:val="3"/>
    <w:qFormat/>
    <w:rsid w:val="000765D4"/>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0765D4"/>
    <w:pPr>
      <w:ind w:left="794" w:hanging="397"/>
    </w:pPr>
  </w:style>
  <w:style w:type="paragraph" w:customStyle="1" w:styleId="Documentsubtitle">
    <w:name w:val="Document subtitle"/>
    <w:uiPriority w:val="8"/>
    <w:rsid w:val="000765D4"/>
    <w:pPr>
      <w:spacing w:after="100"/>
    </w:pPr>
    <w:rPr>
      <w:rFonts w:ascii="Arial" w:hAnsi="Arial"/>
      <w:color w:val="201547"/>
      <w:sz w:val="28"/>
      <w:szCs w:val="24"/>
      <w:lang w:eastAsia="en-US"/>
    </w:rPr>
  </w:style>
  <w:style w:type="paragraph" w:customStyle="1" w:styleId="Spacerparatopoffirstpage">
    <w:name w:val="Spacer para top of first page"/>
    <w:basedOn w:val="Bodynospace"/>
    <w:semiHidden/>
    <w:rsid w:val="000765D4"/>
    <w:pPr>
      <w:spacing w:line="240" w:lineRule="auto"/>
    </w:pPr>
    <w:rPr>
      <w:noProof/>
      <w:sz w:val="12"/>
    </w:rPr>
  </w:style>
  <w:style w:type="numbering" w:customStyle="1" w:styleId="ZZNumbersdigit">
    <w:name w:val="ZZ Numbers digit"/>
    <w:rsid w:val="000765D4"/>
  </w:style>
  <w:style w:type="paragraph" w:customStyle="1" w:styleId="Numberdigit">
    <w:name w:val="Number digit"/>
    <w:basedOn w:val="Body"/>
    <w:uiPriority w:val="2"/>
    <w:rsid w:val="000765D4"/>
    <w:pPr>
      <w:tabs>
        <w:tab w:val="num" w:pos="397"/>
      </w:tabs>
      <w:ind w:left="397" w:hanging="397"/>
    </w:pPr>
  </w:style>
  <w:style w:type="paragraph" w:customStyle="1" w:styleId="Numberloweralphaindent">
    <w:name w:val="Number lower alpha indent"/>
    <w:basedOn w:val="Body"/>
    <w:uiPriority w:val="3"/>
    <w:rsid w:val="000765D4"/>
    <w:pPr>
      <w:ind w:left="1440" w:hanging="360"/>
    </w:pPr>
  </w:style>
  <w:style w:type="paragraph" w:customStyle="1" w:styleId="Numberdigitindent">
    <w:name w:val="Number digit indent"/>
    <w:basedOn w:val="Numberloweralphaindent"/>
    <w:uiPriority w:val="3"/>
    <w:rsid w:val="000765D4"/>
    <w:pPr>
      <w:tabs>
        <w:tab w:val="num" w:pos="794"/>
      </w:tabs>
      <w:ind w:left="794" w:hanging="397"/>
    </w:pPr>
  </w:style>
  <w:style w:type="paragraph" w:customStyle="1" w:styleId="Numberloweralpha">
    <w:name w:val="Number lower alpha"/>
    <w:basedOn w:val="Body"/>
    <w:uiPriority w:val="3"/>
    <w:rsid w:val="000765D4"/>
    <w:pPr>
      <w:ind w:left="720" w:hanging="360"/>
    </w:pPr>
  </w:style>
  <w:style w:type="paragraph" w:customStyle="1" w:styleId="Numberlowerroman">
    <w:name w:val="Number lower roman"/>
    <w:basedOn w:val="Body"/>
    <w:uiPriority w:val="3"/>
    <w:rsid w:val="000765D4"/>
    <w:pPr>
      <w:ind w:left="720" w:hanging="360"/>
    </w:pPr>
  </w:style>
  <w:style w:type="paragraph" w:customStyle="1" w:styleId="Numberlowerromanindent">
    <w:name w:val="Number lower roman indent"/>
    <w:basedOn w:val="Body"/>
    <w:uiPriority w:val="3"/>
    <w:rsid w:val="000765D4"/>
    <w:pPr>
      <w:ind w:left="1440" w:hanging="360"/>
    </w:pPr>
  </w:style>
  <w:style w:type="paragraph" w:customStyle="1" w:styleId="Tablefigurenote">
    <w:name w:val="Table/figure note"/>
    <w:uiPriority w:val="4"/>
    <w:rsid w:val="000765D4"/>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0765D4"/>
    <w:pPr>
      <w:spacing w:before="240"/>
    </w:pPr>
  </w:style>
  <w:style w:type="paragraph" w:customStyle="1" w:styleId="Bulletafternumbers2">
    <w:name w:val="Bullet after numbers 2"/>
    <w:basedOn w:val="Body"/>
    <w:rsid w:val="000765D4"/>
    <w:pPr>
      <w:ind w:left="1191" w:hanging="397"/>
    </w:pPr>
  </w:style>
  <w:style w:type="paragraph" w:customStyle="1" w:styleId="Quotebullet1">
    <w:name w:val="Quote bullet 1"/>
    <w:basedOn w:val="Quotetext"/>
    <w:rsid w:val="000765D4"/>
    <w:pPr>
      <w:pBdr>
        <w:top w:val="none" w:sz="0" w:space="0" w:color="auto"/>
        <w:bottom w:val="none" w:sz="0" w:space="0" w:color="auto"/>
      </w:pBdr>
      <w:spacing w:before="0" w:line="320" w:lineRule="atLeast"/>
      <w:ind w:left="680" w:right="0" w:hanging="283"/>
    </w:pPr>
    <w:rPr>
      <w:b w:val="0"/>
      <w:sz w:val="24"/>
    </w:rPr>
  </w:style>
  <w:style w:type="paragraph" w:customStyle="1" w:styleId="Quotebullet2">
    <w:name w:val="Quote bullet 2"/>
    <w:basedOn w:val="Quotetext"/>
    <w:rsid w:val="000765D4"/>
    <w:pPr>
      <w:pBdr>
        <w:top w:val="none" w:sz="0" w:space="0" w:color="auto"/>
        <w:bottom w:val="none" w:sz="0" w:space="0" w:color="auto"/>
      </w:pBdr>
      <w:spacing w:before="0" w:line="320" w:lineRule="atLeast"/>
      <w:ind w:left="964" w:right="0" w:hanging="284"/>
    </w:pPr>
    <w:rPr>
      <w:b w:val="0"/>
      <w:sz w:val="24"/>
    </w:rPr>
  </w:style>
  <w:style w:type="paragraph" w:styleId="BalloonText">
    <w:name w:val="Balloon Text"/>
    <w:basedOn w:val="Normal"/>
    <w:link w:val="BalloonTextChar"/>
    <w:uiPriority w:val="99"/>
    <w:semiHidden/>
    <w:unhideWhenUsed/>
    <w:rsid w:val="000765D4"/>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0765D4"/>
    <w:rPr>
      <w:rFonts w:ascii="Segoe UI" w:eastAsiaTheme="minorHAnsi" w:hAnsi="Segoe UI" w:cs="Segoe UI"/>
      <w:sz w:val="18"/>
      <w:szCs w:val="18"/>
      <w:lang w:eastAsia="en-US"/>
    </w:rPr>
  </w:style>
  <w:style w:type="character" w:customStyle="1" w:styleId="BodyChar">
    <w:name w:val="Body Char"/>
    <w:basedOn w:val="DefaultParagraphFont"/>
    <w:link w:val="Body"/>
    <w:rsid w:val="005A0326"/>
    <w:rPr>
      <w:rFonts w:ascii="Arial" w:eastAsia="Times" w:hAnsi="Arial"/>
      <w:sz w:val="22"/>
      <w:lang w:eastAsia="en-US"/>
    </w:rPr>
  </w:style>
  <w:style w:type="paragraph" w:customStyle="1" w:styleId="Bannermarking">
    <w:name w:val="Banner marking"/>
    <w:basedOn w:val="Body"/>
    <w:uiPriority w:val="11"/>
    <w:rsid w:val="000765D4"/>
    <w:pPr>
      <w:spacing w:after="0"/>
    </w:pPr>
    <w:rPr>
      <w:b/>
      <w:bCs/>
      <w:color w:val="000000" w:themeColor="text1"/>
    </w:rPr>
  </w:style>
  <w:style w:type="paragraph" w:customStyle="1" w:styleId="Imprint">
    <w:name w:val="Imprint"/>
    <w:basedOn w:val="Body"/>
    <w:uiPriority w:val="11"/>
    <w:rsid w:val="000765D4"/>
    <w:pPr>
      <w:spacing w:after="60"/>
    </w:pPr>
    <w:rPr>
      <w:color w:val="000000" w:themeColor="text1"/>
      <w:sz w:val="20"/>
    </w:rPr>
  </w:style>
  <w:style w:type="paragraph" w:customStyle="1" w:styleId="Introductiontext">
    <w:name w:val="Introduction text"/>
    <w:basedOn w:val="Normal"/>
    <w:uiPriority w:val="99"/>
    <w:rsid w:val="000765D4"/>
    <w:pPr>
      <w:suppressAutoHyphens/>
      <w:autoSpaceDE w:val="0"/>
      <w:autoSpaceDN w:val="0"/>
      <w:adjustRightInd w:val="0"/>
      <w:spacing w:after="113" w:line="288" w:lineRule="auto"/>
      <w:jc w:val="right"/>
      <w:textAlignment w:val="center"/>
    </w:pPr>
    <w:rPr>
      <w:rFonts w:ascii="VIC-Regular" w:eastAsiaTheme="minorHAnsi" w:hAnsi="VIC-Regular" w:cs="VIC-Regular"/>
      <w:color w:val="000000"/>
      <w:sz w:val="32"/>
      <w:szCs w:val="32"/>
      <w:lang w:val="en-US"/>
    </w:rPr>
  </w:style>
  <w:style w:type="paragraph" w:customStyle="1" w:styleId="IntrotextBody">
    <w:name w:val="Intro tex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0765D4"/>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0765D4"/>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0765D4"/>
    <w:pPr>
      <w:spacing w:after="57" w:line="280" w:lineRule="atLeast"/>
    </w:pPr>
    <w:rPr>
      <w:spacing w:val="2"/>
      <w:sz w:val="22"/>
      <w:szCs w:val="22"/>
    </w:rPr>
  </w:style>
  <w:style w:type="character" w:customStyle="1" w:styleId="BodyItalicBodyIntertextStyles">
    <w:name w:val="Body Italic (Body Intertext Styles)"/>
    <w:uiPriority w:val="99"/>
    <w:rsid w:val="000765D4"/>
    <w:rPr>
      <w:rFonts w:ascii="VIC-Italic" w:hAnsi="VIC-Italic" w:cs="VIC-Italic"/>
      <w:i/>
      <w:iCs/>
    </w:rPr>
  </w:style>
  <w:style w:type="character" w:customStyle="1" w:styleId="BodyBoldBodyIntertextStyles">
    <w:name w:val="Body Bold (Body Intertext Styles)"/>
    <w:uiPriority w:val="99"/>
    <w:rsid w:val="000765D4"/>
    <w:rPr>
      <w:rFonts w:ascii="VIC-SemiBold" w:hAnsi="VIC-SemiBold" w:cs="VIC-SemiBold"/>
      <w:b/>
      <w:bCs/>
    </w:rPr>
  </w:style>
  <w:style w:type="paragraph" w:customStyle="1" w:styleId="TitleHeadings">
    <w:name w:val="Title (Headings)"/>
    <w:basedOn w:val="Normal"/>
    <w:uiPriority w:val="99"/>
    <w:rsid w:val="000765D4"/>
    <w:pPr>
      <w:keepLines/>
      <w:autoSpaceDE w:val="0"/>
      <w:autoSpaceDN w:val="0"/>
      <w:adjustRightInd w:val="0"/>
      <w:spacing w:line="600" w:lineRule="atLeast"/>
      <w:textAlignment w:val="center"/>
    </w:pPr>
    <w:rPr>
      <w:rFonts w:ascii="Times" w:hAnsi="Times" w:cs="Times"/>
      <w:b/>
      <w:bCs/>
      <w:color w:val="03003F"/>
      <w:spacing w:val="6"/>
      <w:sz w:val="56"/>
      <w:szCs w:val="56"/>
      <w:lang w:val="en-GB" w:eastAsia="en-AU"/>
    </w:rPr>
  </w:style>
  <w:style w:type="paragraph" w:customStyle="1" w:styleId="NoParagraphStyle">
    <w:name w:val="[No Paragraph Style]"/>
    <w:rsid w:val="000765D4"/>
    <w:pPr>
      <w:autoSpaceDE w:val="0"/>
      <w:autoSpaceDN w:val="0"/>
      <w:adjustRightInd w:val="0"/>
      <w:spacing w:line="288" w:lineRule="auto"/>
      <w:textAlignment w:val="center"/>
    </w:pPr>
    <w:rPr>
      <w:rFonts w:ascii="Times" w:hAnsi="Times" w:cs="Times"/>
      <w:color w:val="000000"/>
      <w:sz w:val="24"/>
      <w:szCs w:val="24"/>
      <w:lang w:val="en-GB"/>
    </w:rPr>
  </w:style>
  <w:style w:type="paragraph" w:customStyle="1" w:styleId="BodyCopyBody">
    <w:name w:val="Body Copy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eastAsiaTheme="minorEastAsia" w:hAnsi="VIC" w:cs="VIC"/>
      <w:color w:val="03003F"/>
      <w:sz w:val="19"/>
      <w:szCs w:val="19"/>
      <w:lang w:val="en-GB" w:eastAsia="en-GB"/>
    </w:rPr>
  </w:style>
  <w:style w:type="paragraph" w:customStyle="1" w:styleId="BodyBulletBody">
    <w:name w:val="Body Bullet (Body)"/>
    <w:basedOn w:val="BodyCopyBody"/>
    <w:uiPriority w:val="99"/>
    <w:rsid w:val="000765D4"/>
    <w:pPr>
      <w:spacing w:after="28" w:line="250" w:lineRule="atLeast"/>
      <w:ind w:left="227" w:hanging="227"/>
    </w:pPr>
  </w:style>
  <w:style w:type="paragraph" w:customStyle="1" w:styleId="BodyBulletLastBody">
    <w:name w:val="Body Bullet Last (Body)"/>
    <w:basedOn w:val="BodyBulletBody"/>
    <w:uiPriority w:val="99"/>
    <w:rsid w:val="000765D4"/>
    <w:pPr>
      <w:spacing w:after="113"/>
    </w:pPr>
  </w:style>
  <w:style w:type="paragraph" w:customStyle="1" w:styleId="BodyBulletabccontBody">
    <w:name w:val="Body Bullet abc con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lastBody">
    <w:name w:val="Body Bullet abc las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startBody">
    <w:name w:val="Body Bullet 123 star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contBody">
    <w:name w:val="Body Bullet 123 con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lastBody">
    <w:name w:val="Body Bullet 123 las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startBody">
    <w:name w:val="Body Bullet abc start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TableheadHeadings">
    <w:name w:val="Table head (Headings)"/>
    <w:basedOn w:val="BodyCopyBody"/>
    <w:uiPriority w:val="99"/>
    <w:rsid w:val="000765D4"/>
    <w:pPr>
      <w:spacing w:line="240" w:lineRule="atLeast"/>
    </w:pPr>
    <w:rPr>
      <w:b/>
      <w:bCs/>
      <w:color w:val="FFFFFF"/>
      <w:sz w:val="18"/>
      <w:szCs w:val="18"/>
    </w:rPr>
  </w:style>
  <w:style w:type="paragraph" w:customStyle="1" w:styleId="Tablehead2Headings">
    <w:name w:val="Table head 2 (Headings)"/>
    <w:basedOn w:val="BodyCopyBody"/>
    <w:uiPriority w:val="99"/>
    <w:rsid w:val="000765D4"/>
    <w:pPr>
      <w:spacing w:line="240" w:lineRule="atLeast"/>
    </w:pPr>
    <w:rPr>
      <w:b/>
      <w:bCs/>
      <w:sz w:val="18"/>
      <w:szCs w:val="18"/>
    </w:rPr>
  </w:style>
  <w:style w:type="paragraph" w:customStyle="1" w:styleId="TableBodyCopyBody">
    <w:name w:val="Table Body Copy (Body)"/>
    <w:basedOn w:val="Normal"/>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textAlignment w:val="center"/>
    </w:pPr>
    <w:rPr>
      <w:rFonts w:ascii="VIC" w:eastAsiaTheme="minorEastAsia" w:hAnsi="VIC" w:cs="VIC"/>
      <w:color w:val="03003F"/>
      <w:sz w:val="18"/>
      <w:szCs w:val="18"/>
      <w:lang w:val="en-GB" w:eastAsia="en-GB"/>
    </w:rPr>
  </w:style>
  <w:style w:type="character" w:customStyle="1" w:styleId="BodyItalicBodyStyles">
    <w:name w:val="Body Italic (Body Styles)"/>
    <w:uiPriority w:val="99"/>
    <w:rsid w:val="000765D4"/>
    <w:rPr>
      <w:rFonts w:ascii="VIC" w:hAnsi="VIC" w:cs="VIC"/>
      <w:i/>
      <w:iCs/>
    </w:rPr>
  </w:style>
  <w:style w:type="character" w:customStyle="1" w:styleId="BodyBoldBodyStyles">
    <w:name w:val="Body Bold (Body Styles)"/>
    <w:uiPriority w:val="99"/>
    <w:rsid w:val="000765D4"/>
    <w:rPr>
      <w:rFonts w:ascii="VIC SemiBold" w:hAnsi="VIC SemiBold" w:cs="VIC SemiBold"/>
      <w:b/>
      <w:bCs/>
    </w:rPr>
  </w:style>
  <w:style w:type="character" w:styleId="Emphasis">
    <w:name w:val="Emphasis"/>
    <w:basedOn w:val="DefaultParagraphFont"/>
    <w:uiPriority w:val="20"/>
    <w:rsid w:val="000765D4"/>
    <w:rPr>
      <w:i/>
      <w:iCs/>
    </w:rPr>
  </w:style>
  <w:style w:type="paragraph" w:customStyle="1" w:styleId="Bulletabc">
    <w:name w:val="Bullet abc"/>
    <w:basedOn w:val="Bullet1"/>
    <w:qFormat/>
    <w:rsid w:val="000765D4"/>
    <w:pPr>
      <w:numPr>
        <w:numId w:val="0"/>
      </w:numPr>
    </w:pPr>
  </w:style>
  <w:style w:type="numbering" w:styleId="1ai">
    <w:name w:val="Outline List 1"/>
    <w:basedOn w:val="NoList"/>
    <w:uiPriority w:val="99"/>
    <w:semiHidden/>
    <w:unhideWhenUsed/>
    <w:rsid w:val="000765D4"/>
    <w:pPr>
      <w:numPr>
        <w:numId w:val="12"/>
      </w:numPr>
    </w:pPr>
  </w:style>
  <w:style w:type="paragraph" w:customStyle="1" w:styleId="BulletnumberedBody">
    <w:name w:val="Bullet numbered (Body)"/>
    <w:basedOn w:val="BodyBulletBody"/>
    <w:uiPriority w:val="99"/>
    <w:rsid w:val="000765D4"/>
  </w:style>
  <w:style w:type="paragraph" w:customStyle="1" w:styleId="BulletnumberedlastBody">
    <w:name w:val="Bullet numbered last (Body)"/>
    <w:basedOn w:val="BodyBulletBody"/>
    <w:uiPriority w:val="99"/>
    <w:rsid w:val="000765D4"/>
    <w:pPr>
      <w:spacing w:after="113"/>
    </w:pPr>
  </w:style>
  <w:style w:type="character" w:customStyle="1" w:styleId="Hyperlinkbold">
    <w:name w:val="Hyperlink bold"/>
    <w:uiPriority w:val="99"/>
    <w:rsid w:val="000765D4"/>
    <w:rPr>
      <w:b/>
      <w:bCs/>
      <w:u w:val="none"/>
    </w:rPr>
  </w:style>
  <w:style w:type="paragraph" w:styleId="BodyText">
    <w:name w:val="Body Text"/>
    <w:basedOn w:val="Normal"/>
    <w:link w:val="BodyTextChar"/>
    <w:uiPriority w:val="99"/>
    <w:unhideWhenUsed/>
    <w:rsid w:val="000765D4"/>
    <w:pPr>
      <w:spacing w:after="120"/>
    </w:pPr>
    <w:rPr>
      <w:rFonts w:asciiTheme="minorHAnsi" w:eastAsiaTheme="minorEastAsia" w:hAnsiTheme="minorHAnsi" w:cstheme="minorBidi"/>
      <w:kern w:val="2"/>
      <w:sz w:val="24"/>
      <w:szCs w:val="24"/>
      <w:lang w:eastAsia="en-GB"/>
      <w14:ligatures w14:val="standardContextual"/>
    </w:rPr>
  </w:style>
  <w:style w:type="character" w:customStyle="1" w:styleId="BodyTextChar">
    <w:name w:val="Body Text Char"/>
    <w:basedOn w:val="DefaultParagraphFont"/>
    <w:link w:val="BodyText"/>
    <w:uiPriority w:val="99"/>
    <w:rsid w:val="000765D4"/>
    <w:rPr>
      <w:rFonts w:asciiTheme="minorHAnsi" w:eastAsiaTheme="minorEastAsia" w:hAnsiTheme="minorHAnsi" w:cstheme="minorBidi"/>
      <w:kern w:val="2"/>
      <w:sz w:val="24"/>
      <w:szCs w:val="24"/>
      <w:lang w:eastAsia="en-GB"/>
      <w14:ligatures w14:val="standardContextual"/>
    </w:rPr>
  </w:style>
  <w:style w:type="paragraph" w:customStyle="1" w:styleId="BodyBullet2Body">
    <w:name w:val="Body Bullet 2 (Body)"/>
    <w:basedOn w:val="BodyBulletBody"/>
    <w:uiPriority w:val="99"/>
    <w:rsid w:val="000765D4"/>
    <w:pPr>
      <w:tabs>
        <w:tab w:val="clear" w:pos="227"/>
      </w:tabs>
      <w:ind w:left="454"/>
    </w:pPr>
    <w:rPr>
      <w14:ligatures w14:val="standardContextual"/>
    </w:rPr>
  </w:style>
  <w:style w:type="paragraph" w:customStyle="1" w:styleId="BodyBullet2LastBody">
    <w:name w:val="Body Bullet 2 Last (Body)"/>
    <w:basedOn w:val="BodyBullet2Body"/>
    <w:uiPriority w:val="99"/>
    <w:rsid w:val="000765D4"/>
    <w:pPr>
      <w:spacing w:after="113"/>
    </w:pPr>
  </w:style>
  <w:style w:type="paragraph" w:customStyle="1" w:styleId="ChecklistbulletBody">
    <w:name w:val="Checklist bullet (Body)"/>
    <w:basedOn w:val="BodyCopyBody"/>
    <w:uiPriority w:val="99"/>
    <w:rsid w:val="000765D4"/>
    <w:pPr>
      <w:spacing w:line="250" w:lineRule="atLeast"/>
      <w:ind w:left="340" w:hanging="340"/>
    </w:pPr>
    <w:rPr>
      <w14:ligatures w14:val="standardContextual"/>
    </w:rPr>
  </w:style>
  <w:style w:type="paragraph" w:customStyle="1" w:styleId="1Numberdigitrestart">
    <w:name w:val="1. Number digit restart"/>
    <w:basedOn w:val="Numberdigit"/>
    <w:next w:val="Numberdigit"/>
    <w:qFormat/>
    <w:rsid w:val="000765D4"/>
    <w:pPr>
      <w:numPr>
        <w:numId w:val="13"/>
      </w:numPr>
      <w:ind w:left="720"/>
    </w:pPr>
  </w:style>
  <w:style w:type="paragraph" w:customStyle="1" w:styleId="BodyBulletabcBody">
    <w:name w:val="Body Bullet abc (Body)"/>
    <w:basedOn w:val="BodyCopyBody"/>
    <w:uiPriority w:val="99"/>
    <w:rsid w:val="000765D4"/>
    <w:pPr>
      <w:spacing w:after="28" w:line="250" w:lineRule="atLeast"/>
      <w:ind w:left="227" w:hanging="227"/>
    </w:pPr>
  </w:style>
  <w:style w:type="paragraph" w:customStyle="1" w:styleId="BodybulletlastBody0">
    <w:name w:val="Body bullet last (Body)"/>
    <w:basedOn w:val="BodyBulletBody"/>
    <w:uiPriority w:val="99"/>
    <w:rsid w:val="000765D4"/>
    <w:pPr>
      <w:spacing w:after="113"/>
    </w:pPr>
  </w:style>
  <w:style w:type="paragraph" w:customStyle="1" w:styleId="BulletnumberedrestartBody">
    <w:name w:val="Bullet numbered restart (Body)"/>
    <w:basedOn w:val="BodyBulletBody"/>
    <w:uiPriority w:val="99"/>
    <w:rsid w:val="000765D4"/>
  </w:style>
  <w:style w:type="character" w:customStyle="1" w:styleId="SemiboldItalic">
    <w:name w:val="Semibold Italic"/>
    <w:basedOn w:val="Hyperlinkbold"/>
    <w:uiPriority w:val="99"/>
    <w:rsid w:val="000765D4"/>
    <w:rPr>
      <w:rFonts w:cs="Times New Roman"/>
      <w:b/>
      <w:bCs/>
      <w:i/>
      <w:iCs/>
      <w:u w:val="none"/>
    </w:rPr>
  </w:style>
  <w:style w:type="character" w:customStyle="1" w:styleId="Italic">
    <w:name w:val="Italic"/>
    <w:basedOn w:val="SemiboldItalic"/>
    <w:uiPriority w:val="99"/>
    <w:rsid w:val="000765D4"/>
    <w:rPr>
      <w:rFonts w:cs="Times New Roman"/>
      <w:b w:val="0"/>
      <w:bCs w:val="0"/>
      <w:i/>
      <w:iCs/>
      <w:u w:val="none"/>
    </w:rPr>
  </w:style>
  <w:style w:type="paragraph" w:customStyle="1" w:styleId="Heading3TextHeadings">
    <w:name w:val="Heading 3 Text (Headings)"/>
    <w:basedOn w:val="NoParagraphStyle"/>
    <w:uiPriority w:val="99"/>
    <w:rsid w:val="000765D4"/>
    <w:pPr>
      <w:keepLines/>
      <w:widowControl w:val="0"/>
      <w:suppressAutoHyphens/>
      <w:spacing w:before="113" w:after="113" w:line="270" w:lineRule="atLeast"/>
    </w:pPr>
    <w:rPr>
      <w:rFonts w:ascii="VIC SemiBold" w:eastAsiaTheme="minorEastAsia" w:hAnsi="VIC SemiBold" w:cs="VIC SemiBold"/>
      <w:b/>
      <w:bCs/>
      <w:color w:val="03003F"/>
      <w:sz w:val="22"/>
      <w:szCs w:val="22"/>
      <w:lang w:eastAsia="en-GB"/>
      <w14:ligatures w14:val="standardContextual"/>
    </w:rPr>
  </w:style>
  <w:style w:type="paragraph" w:customStyle="1" w:styleId="TableBodyTables">
    <w:name w:val="Table Body (Tables)"/>
    <w:basedOn w:val="NoParagraphStyle"/>
    <w:uiPriority w:val="99"/>
    <w:rsid w:val="000765D4"/>
    <w:pPr>
      <w:widowControl w:val="0"/>
      <w:suppressAutoHyphens/>
      <w:spacing w:after="57"/>
    </w:pPr>
    <w:rPr>
      <w:rFonts w:ascii="VIC" w:eastAsiaTheme="minorEastAsia" w:hAnsi="VIC" w:cs="VIC"/>
      <w:color w:val="333740"/>
      <w:sz w:val="18"/>
      <w:szCs w:val="18"/>
      <w:lang w:eastAsia="en-GB"/>
      <w14:ligatures w14:val="standardContextual"/>
    </w:rPr>
  </w:style>
  <w:style w:type="paragraph" w:customStyle="1" w:styleId="Heading1TextHeadings">
    <w:name w:val="Heading 1 Text (Headings)"/>
    <w:basedOn w:val="NoParagraphStyle"/>
    <w:uiPriority w:val="99"/>
    <w:rsid w:val="000765D4"/>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spacing w:before="170" w:after="170"/>
    </w:pPr>
    <w:rPr>
      <w:rFonts w:ascii="VIC SemiBold" w:eastAsiaTheme="minorEastAsia" w:hAnsi="VIC SemiBold" w:cs="VIC SemiBold"/>
      <w:b/>
      <w:bCs/>
      <w:color w:val="03003F"/>
      <w:spacing w:val="-7"/>
      <w:sz w:val="50"/>
      <w:szCs w:val="50"/>
      <w:lang w:eastAsia="en-GB"/>
      <w14:ligatures w14:val="standardContextual"/>
    </w:rPr>
  </w:style>
  <w:style w:type="paragraph" w:customStyle="1" w:styleId="ContentsL1Stylings">
    <w:name w:val="Contents L1 (Stylings)"/>
    <w:basedOn w:val="BodyCopyBody"/>
    <w:uiPriority w:val="99"/>
    <w:rsid w:val="000765D4"/>
    <w:pPr>
      <w:keepLines/>
      <w:pBdr>
        <w:bottom w:val="single" w:sz="2" w:space="5" w:color="auto"/>
      </w:pBdr>
      <w:tabs>
        <w:tab w:val="clear" w:pos="227"/>
        <w:tab w:val="clear" w:pos="454"/>
        <w:tab w:val="clear" w:pos="680"/>
        <w:tab w:val="clear" w:pos="907"/>
        <w:tab w:val="clear" w:pos="1134"/>
        <w:tab w:val="clear" w:pos="1361"/>
        <w:tab w:val="clear" w:pos="1587"/>
        <w:tab w:val="clear" w:pos="1814"/>
        <w:tab w:val="clear" w:pos="2041"/>
        <w:tab w:val="clear" w:pos="2268"/>
        <w:tab w:val="clear" w:pos="2494"/>
        <w:tab w:val="clear" w:pos="2721"/>
        <w:tab w:val="clear" w:pos="2948"/>
        <w:tab w:val="clear" w:pos="3175"/>
        <w:tab w:val="clear" w:pos="3402"/>
        <w:tab w:val="clear" w:pos="3628"/>
        <w:tab w:val="clear" w:pos="3855"/>
        <w:tab w:val="clear" w:pos="4082"/>
        <w:tab w:val="clear" w:pos="4309"/>
        <w:tab w:val="clear" w:pos="4535"/>
        <w:tab w:val="clear" w:pos="4762"/>
        <w:tab w:val="clear" w:pos="4989"/>
        <w:tab w:val="clear" w:pos="5216"/>
        <w:tab w:val="clear" w:pos="5443"/>
        <w:tab w:val="clear" w:pos="5669"/>
        <w:tab w:val="clear" w:pos="5896"/>
        <w:tab w:val="clear" w:pos="6123"/>
        <w:tab w:val="clear" w:pos="6350"/>
        <w:tab w:val="clear" w:pos="6576"/>
        <w:tab w:val="clear" w:pos="6803"/>
        <w:tab w:val="clear" w:pos="7030"/>
        <w:tab w:val="clear" w:pos="7257"/>
        <w:tab w:val="clear" w:pos="7483"/>
        <w:tab w:val="clear" w:pos="7710"/>
        <w:tab w:val="clear" w:pos="7937"/>
        <w:tab w:val="clear" w:pos="8164"/>
        <w:tab w:val="clear" w:pos="8391"/>
        <w:tab w:val="clear" w:pos="8617"/>
        <w:tab w:val="clear" w:pos="8844"/>
        <w:tab w:val="clear" w:pos="9071"/>
        <w:tab w:val="clear" w:pos="9298"/>
        <w:tab w:val="clear" w:pos="9524"/>
        <w:tab w:val="clear" w:pos="9751"/>
        <w:tab w:val="right" w:pos="8220"/>
      </w:tabs>
      <w:spacing w:after="170" w:line="280" w:lineRule="atLeast"/>
    </w:pPr>
    <w:rPr>
      <w:rFonts w:ascii="VIC SemiBold" w:hAnsi="VIC SemiBold" w:cs="VIC SemiBold"/>
      <w:b/>
      <w:bCs/>
      <w:color w:val="333740"/>
      <w:spacing w:val="-2"/>
      <w:sz w:val="24"/>
      <w:szCs w:val="24"/>
      <w14:ligatures w14:val="standardContextual"/>
    </w:rPr>
  </w:style>
  <w:style w:type="paragraph" w:customStyle="1" w:styleId="ContentsL2Stylings">
    <w:name w:val="Contents L2 (Stylings)"/>
    <w:basedOn w:val="NoParagraphStyle"/>
    <w:uiPriority w:val="99"/>
    <w:rsid w:val="000765D4"/>
    <w:pPr>
      <w:keepLines/>
      <w:widowControl w:val="0"/>
      <w:tabs>
        <w:tab w:val="right" w:pos="8220"/>
      </w:tabs>
      <w:suppressAutoHyphens/>
      <w:spacing w:after="113" w:line="260" w:lineRule="atLeast"/>
      <w:ind w:left="227"/>
    </w:pPr>
    <w:rPr>
      <w:rFonts w:ascii="VIC" w:eastAsiaTheme="minorEastAsia" w:hAnsi="VIC" w:cs="VIC"/>
      <w:color w:val="03003F"/>
      <w:sz w:val="22"/>
      <w:szCs w:val="22"/>
      <w:lang w:eastAsia="en-GB"/>
      <w14:ligatures w14:val="standardContextual"/>
    </w:rPr>
  </w:style>
  <w:style w:type="paragraph" w:customStyle="1" w:styleId="IntroparaBody">
    <w:name w:val="Intro para (Body)"/>
    <w:basedOn w:val="BodyCopyBody"/>
    <w:uiPriority w:val="99"/>
    <w:rsid w:val="000765D4"/>
    <w:pPr>
      <w:spacing w:after="170" w:line="320" w:lineRule="atLeast"/>
    </w:pPr>
    <w:rPr>
      <w:rFonts w:ascii="VIC Medium" w:hAnsi="VIC Medium" w:cs="VIC Medium"/>
      <w:color w:val="333740"/>
      <w:spacing w:val="-2"/>
      <w:sz w:val="24"/>
      <w:szCs w:val="24"/>
      <w14:ligatures w14:val="standardContextual"/>
    </w:rPr>
  </w:style>
  <w:style w:type="paragraph" w:customStyle="1" w:styleId="BasicParagraph">
    <w:name w:val="[Basic Paragraph]"/>
    <w:basedOn w:val="BodyCopyBody"/>
    <w:uiPriority w:val="99"/>
    <w:rsid w:val="000765D4"/>
    <w:pPr>
      <w:spacing w:after="170" w:line="240" w:lineRule="atLeast"/>
    </w:pPr>
    <w:rPr>
      <w:color w:val="333740"/>
      <w:spacing w:val="-2"/>
      <w14:ligatures w14:val="standardContextual"/>
    </w:rPr>
  </w:style>
  <w:style w:type="paragraph" w:customStyle="1" w:styleId="Heading1MastheadHeadings">
    <w:name w:val="Heading 1 Masthead (Headings)"/>
    <w:basedOn w:val="BasicParagraph"/>
    <w:uiPriority w:val="99"/>
    <w:rsid w:val="000765D4"/>
    <w:pPr>
      <w:keepLines/>
      <w:spacing w:line="560" w:lineRule="atLeast"/>
    </w:pPr>
    <w:rPr>
      <w:rFonts w:ascii="VIC SemiBold" w:hAnsi="VIC SemiBold" w:cs="VIC SemiBold"/>
      <w:b/>
      <w:bCs/>
      <w:color w:val="FFFFFF"/>
      <w:spacing w:val="5"/>
      <w:sz w:val="50"/>
      <w:szCs w:val="50"/>
    </w:rPr>
  </w:style>
  <w:style w:type="paragraph" w:customStyle="1" w:styleId="Heading2TextHeadings">
    <w:name w:val="Heading 2 Text (Headings)"/>
    <w:basedOn w:val="Heading1MastheadHeadings"/>
    <w:uiPriority w:val="99"/>
    <w:rsid w:val="000765D4"/>
    <w:pPr>
      <w:spacing w:before="113" w:line="288" w:lineRule="auto"/>
    </w:pPr>
    <w:rPr>
      <w:color w:val="03003F"/>
      <w:spacing w:val="-3"/>
      <w:sz w:val="28"/>
      <w:szCs w:val="28"/>
    </w:rPr>
  </w:style>
  <w:style w:type="paragraph" w:customStyle="1" w:styleId="BodyCopybeforebulletlistBody">
    <w:name w:val="Body Copy before bullet list (Body)"/>
    <w:basedOn w:val="NoParagraphStyle"/>
    <w:uiPriority w:val="99"/>
    <w:rsid w:val="000765D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spacing w:after="28" w:line="240" w:lineRule="atLeast"/>
    </w:pPr>
    <w:rPr>
      <w:rFonts w:ascii="VIC" w:eastAsiaTheme="minorEastAsia" w:hAnsi="VIC" w:cs="VIC"/>
      <w:color w:val="333740"/>
      <w:spacing w:val="-2"/>
      <w:sz w:val="19"/>
      <w:szCs w:val="19"/>
      <w:lang w:eastAsia="en-GB"/>
      <w14:ligatures w14:val="standardContextual"/>
    </w:rPr>
  </w:style>
  <w:style w:type="paragraph" w:customStyle="1" w:styleId="BodyBoldBody">
    <w:name w:val="Body Bold (Body)"/>
    <w:basedOn w:val="BodyCopyBody"/>
    <w:uiPriority w:val="99"/>
    <w:rsid w:val="000765D4"/>
    <w:pPr>
      <w:spacing w:after="170" w:line="240" w:lineRule="atLeast"/>
    </w:pPr>
    <w:rPr>
      <w:rFonts w:ascii="VIC SemiBold" w:hAnsi="VIC SemiBold" w:cs="VIC SemiBold"/>
      <w:b/>
      <w:bCs/>
      <w:color w:val="333740"/>
      <w:spacing w:val="-2"/>
      <w14:ligatures w14:val="standardContextual"/>
    </w:rPr>
  </w:style>
  <w:style w:type="paragraph" w:customStyle="1" w:styleId="Heading4TextHeadings">
    <w:name w:val="Heading 4 Text (Headings)"/>
    <w:basedOn w:val="BodyBoldBody"/>
    <w:uiPriority w:val="99"/>
    <w:rsid w:val="000765D4"/>
    <w:pPr>
      <w:keepLines/>
      <w:spacing w:before="113"/>
    </w:pPr>
    <w:rPr>
      <w:color w:val="00828C"/>
      <w:sz w:val="20"/>
      <w:szCs w:val="20"/>
    </w:rPr>
  </w:style>
  <w:style w:type="paragraph" w:customStyle="1" w:styleId="BodyBullet123Body">
    <w:name w:val="Body Bullet 123 (Body)"/>
    <w:basedOn w:val="BodyCopyBody"/>
    <w:uiPriority w:val="99"/>
    <w:rsid w:val="000765D4"/>
    <w:pPr>
      <w:spacing w:after="28" w:line="250" w:lineRule="atLeast"/>
      <w:ind w:left="227" w:hanging="227"/>
    </w:pPr>
    <w:rPr>
      <w:color w:val="333740"/>
      <w:spacing w:val="-2"/>
      <w14:ligatures w14:val="standardContextual"/>
    </w:rPr>
  </w:style>
  <w:style w:type="paragraph" w:customStyle="1" w:styleId="FootnoteBody">
    <w:name w:val="Footnote (Body)"/>
    <w:basedOn w:val="BodyBullet123Body"/>
    <w:uiPriority w:val="99"/>
    <w:rsid w:val="000765D4"/>
    <w:pPr>
      <w:spacing w:line="288" w:lineRule="auto"/>
    </w:pPr>
    <w:rPr>
      <w:sz w:val="16"/>
      <w:szCs w:val="16"/>
    </w:rPr>
  </w:style>
  <w:style w:type="paragraph" w:customStyle="1" w:styleId="OrgcharttextBody">
    <w:name w:val="Org chart text (Body)"/>
    <w:basedOn w:val="BodyCopyBody"/>
    <w:uiPriority w:val="99"/>
    <w:rsid w:val="000765D4"/>
    <w:pPr>
      <w:spacing w:after="170" w:line="288" w:lineRule="auto"/>
      <w:jc w:val="center"/>
    </w:pPr>
    <w:rPr>
      <w:rFonts w:ascii="VIC SemiBold" w:hAnsi="VIC SemiBold" w:cs="VIC SemiBold"/>
      <w:b/>
      <w:bCs/>
      <w:color w:val="333740"/>
      <w:spacing w:val="-1"/>
      <w:sz w:val="14"/>
      <w:szCs w:val="14"/>
      <w14:ligatures w14:val="standardContextual"/>
    </w:rPr>
  </w:style>
  <w:style w:type="paragraph" w:customStyle="1" w:styleId="TableHeading1RevTables">
    <w:name w:val="Table Heading 1 Rev (Tables)"/>
    <w:basedOn w:val="TableBodyTables"/>
    <w:uiPriority w:val="99"/>
    <w:rsid w:val="000765D4"/>
    <w:rPr>
      <w:rFonts w:ascii="VIC SemiBold" w:hAnsi="VIC SemiBold" w:cs="VIC SemiBold"/>
      <w:b/>
      <w:bCs/>
      <w:color w:val="FFFFFF"/>
      <w:sz w:val="19"/>
      <w:szCs w:val="19"/>
    </w:rPr>
  </w:style>
  <w:style w:type="paragraph" w:customStyle="1" w:styleId="TableBodytotalTables">
    <w:name w:val="Table Body total (Tables)"/>
    <w:basedOn w:val="NoParagraphStyle"/>
    <w:uiPriority w:val="99"/>
    <w:rsid w:val="000765D4"/>
    <w:pPr>
      <w:widowControl w:val="0"/>
      <w:suppressAutoHyphens/>
      <w:spacing w:after="57" w:line="240" w:lineRule="atLeast"/>
    </w:pPr>
    <w:rPr>
      <w:rFonts w:ascii="VIC SemiBold" w:eastAsiaTheme="minorEastAsia" w:hAnsi="VIC SemiBold" w:cs="VIC SemiBold"/>
      <w:b/>
      <w:bCs/>
      <w:sz w:val="18"/>
      <w:szCs w:val="18"/>
      <w:lang w:eastAsia="en-GB"/>
      <w14:ligatures w14:val="standardContextual"/>
    </w:rPr>
  </w:style>
  <w:style w:type="character" w:customStyle="1" w:styleId="Bodyitalics">
    <w:name w:val="Body italics"/>
    <w:uiPriority w:val="99"/>
    <w:rsid w:val="000765D4"/>
    <w:rPr>
      <w:i/>
      <w:iCs/>
    </w:rPr>
  </w:style>
  <w:style w:type="character" w:customStyle="1" w:styleId="BodyBold">
    <w:name w:val="Body Bold"/>
    <w:uiPriority w:val="99"/>
    <w:rsid w:val="000765D4"/>
    <w:rPr>
      <w:rFonts w:ascii="VIC SemiBold" w:hAnsi="VIC SemiBold" w:cs="VIC SemiBold"/>
      <w:b/>
      <w:bCs/>
    </w:rPr>
  </w:style>
  <w:style w:type="character" w:customStyle="1" w:styleId="Superscript">
    <w:name w:val="Superscript"/>
    <w:uiPriority w:val="99"/>
    <w:rsid w:val="000765D4"/>
    <w:rPr>
      <w:vertAlign w:val="superscript"/>
    </w:rPr>
  </w:style>
  <w:style w:type="character" w:customStyle="1" w:styleId="Medium">
    <w:name w:val="Medium"/>
    <w:uiPriority w:val="99"/>
    <w:rsid w:val="000765D4"/>
    <w:rPr>
      <w:color w:val="000000"/>
    </w:rPr>
  </w:style>
  <w:style w:type="character" w:customStyle="1" w:styleId="Mediumreversed">
    <w:name w:val="Medium reversed"/>
    <w:basedOn w:val="Medium"/>
    <w:uiPriority w:val="99"/>
    <w:rsid w:val="000765D4"/>
    <w:rPr>
      <w:outline/>
      <w:color w:val="000000"/>
    </w:rPr>
  </w:style>
  <w:style w:type="numbering" w:customStyle="1" w:styleId="CurrentList1">
    <w:name w:val="Current List1"/>
    <w:uiPriority w:val="99"/>
    <w:rsid w:val="007E08B0"/>
    <w:pPr>
      <w:numPr>
        <w:numId w:val="16"/>
      </w:numPr>
    </w:pPr>
  </w:style>
  <w:style w:type="paragraph" w:customStyle="1" w:styleId="TablebulletTables">
    <w:name w:val="Table bullet (Tables)"/>
    <w:basedOn w:val="BodyBulletBody"/>
    <w:uiPriority w:val="99"/>
    <w:rsid w:val="00F8194B"/>
    <w:pPr>
      <w:widowControl/>
      <w:spacing w:line="288" w:lineRule="auto"/>
    </w:pPr>
    <w:rPr>
      <w:rFonts w:eastAsia="Times New Roman"/>
      <w:color w:val="333740"/>
      <w:spacing w:val="-2"/>
      <w:sz w:val="18"/>
      <w:szCs w:val="18"/>
      <w:lang w:eastAsia="en-AU"/>
    </w:rPr>
  </w:style>
  <w:style w:type="paragraph" w:customStyle="1" w:styleId="TablebulletTables0">
    <w:name w:val="Table bullet • (Tables)"/>
    <w:basedOn w:val="BodyBulletBody"/>
    <w:uiPriority w:val="99"/>
    <w:rsid w:val="00F8194B"/>
    <w:pPr>
      <w:widowControl/>
      <w:spacing w:line="288" w:lineRule="auto"/>
    </w:pPr>
    <w:rPr>
      <w:rFonts w:eastAsia="Times New Roman"/>
      <w:color w:val="333740"/>
      <w:spacing w:val="-2"/>
      <w:sz w:val="18"/>
      <w:szCs w:val="18"/>
      <w:lang w:eastAsia="en-AU"/>
    </w:rPr>
  </w:style>
  <w:style w:type="paragraph" w:customStyle="1" w:styleId="VDWCtablebullettick">
    <w:name w:val="VDWC table bullet tick"/>
    <w:basedOn w:val="VDWCbullet1"/>
    <w:rsid w:val="00097D33"/>
    <w:pPr>
      <w:numPr>
        <w:numId w:val="17"/>
      </w:numPr>
      <w:spacing w:before="80" w:after="60" w:line="240" w:lineRule="auto"/>
      <w:ind w:left="357" w:hanging="357"/>
    </w:pPr>
    <w:rPr>
      <w:rFonts w:cstheme="minorBidi"/>
      <w:sz w:val="21"/>
      <w:szCs w:val="22"/>
    </w:rPr>
  </w:style>
  <w:style w:type="paragraph" w:customStyle="1" w:styleId="YearinreviewtextBody">
    <w:name w:val="Year in review text (Body)"/>
    <w:basedOn w:val="BodyCopyBody"/>
    <w:uiPriority w:val="99"/>
    <w:rsid w:val="00EF7DF1"/>
    <w:pPr>
      <w:widowControl/>
      <w:spacing w:before="113" w:line="288" w:lineRule="auto"/>
      <w:jc w:val="center"/>
    </w:pPr>
    <w:rPr>
      <w:rFonts w:eastAsia="Times New Roman"/>
      <w:color w:val="333740"/>
      <w:sz w:val="24"/>
      <w:szCs w:val="24"/>
      <w:lang w:eastAsia="en-AU"/>
    </w:rPr>
  </w:style>
  <w:style w:type="paragraph" w:customStyle="1" w:styleId="Stat2Body">
    <w:name w:val="Stat 2 (Body)"/>
    <w:basedOn w:val="Normal"/>
    <w:uiPriority w:val="99"/>
    <w:rsid w:val="00592AB8"/>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line="760" w:lineRule="atLeast"/>
      <w:jc w:val="center"/>
      <w:textAlignment w:val="center"/>
    </w:pPr>
    <w:rPr>
      <w:rFonts w:ascii="VIC SemiBold" w:hAnsi="VIC SemiBold" w:cs="VIC SemiBold"/>
      <w:b/>
      <w:bCs/>
      <w:color w:val="03003F"/>
      <w:sz w:val="72"/>
      <w:szCs w:val="72"/>
      <w:lang w:val="en-GB" w:eastAsia="en-AU"/>
    </w:rPr>
  </w:style>
  <w:style w:type="paragraph" w:customStyle="1" w:styleId="Strategytablebodytext">
    <w:name w:val="Strategy table body text"/>
    <w:basedOn w:val="NoParagraphStyle"/>
    <w:uiPriority w:val="99"/>
    <w:rsid w:val="00B23CF8"/>
    <w:pPr>
      <w:suppressAutoHyphens/>
      <w:spacing w:after="57"/>
      <w:jc w:val="center"/>
    </w:pPr>
    <w:rPr>
      <w:rFonts w:ascii="VIC" w:hAnsi="VIC" w:cs="VIC"/>
      <w:sz w:val="14"/>
      <w:szCs w:val="14"/>
      <w:lang w:val="en-US"/>
    </w:rPr>
  </w:style>
  <w:style w:type="paragraph" w:customStyle="1" w:styleId="Srategytablebullet">
    <w:name w:val="Srategy table bullet"/>
    <w:basedOn w:val="Strategytablebodytext"/>
    <w:uiPriority w:val="99"/>
    <w:rsid w:val="00B23CF8"/>
    <w:pPr>
      <w:ind w:left="170" w:hanging="170"/>
      <w:jc w:val="left"/>
    </w:pPr>
  </w:style>
  <w:style w:type="character" w:customStyle="1" w:styleId="Semi">
    <w:name w:val="Semi"/>
    <w:uiPriority w:val="99"/>
    <w:rsid w:val="00B23CF8"/>
    <w:rPr>
      <w:b/>
      <w:bCs/>
    </w:rPr>
  </w:style>
  <w:style w:type="paragraph" w:customStyle="1" w:styleId="StatBody">
    <w:name w:val="Stat (Body)"/>
    <w:basedOn w:val="BodyCopyBody"/>
    <w:uiPriority w:val="99"/>
    <w:rsid w:val="00B877BE"/>
    <w:pPr>
      <w:widowControl/>
      <w:spacing w:before="227" w:after="170" w:line="760" w:lineRule="atLeast"/>
      <w:jc w:val="center"/>
    </w:pPr>
    <w:rPr>
      <w:rFonts w:ascii="VIC Light" w:eastAsia="Times New Roman" w:hAnsi="VIC Light" w:cs="VIC Light"/>
      <w:color w:val="00828C"/>
      <w:spacing w:val="-7"/>
      <w:sz w:val="72"/>
      <w:szCs w:val="72"/>
      <w:lang w:eastAsia="en-AU"/>
    </w:rPr>
  </w:style>
  <w:style w:type="paragraph" w:customStyle="1" w:styleId="H2ContentsHeadings">
    <w:name w:val="H2 Contents (Headings)"/>
    <w:basedOn w:val="Heading2TextHeadings"/>
    <w:uiPriority w:val="99"/>
    <w:rsid w:val="00C23573"/>
    <w:pPr>
      <w:spacing w:before="170"/>
    </w:pPr>
    <w:rPr>
      <w:rFonts w:ascii="VIC Medium" w:hAnsi="VIC Medium" w:cs="VIC Medium"/>
      <w:b w:val="0"/>
      <w:bCs w:val="0"/>
      <w:color w:val="00828C"/>
      <w:spacing w:val="-10"/>
      <w:sz w:val="48"/>
      <w:szCs w:val="48"/>
    </w:rPr>
  </w:style>
  <w:style w:type="paragraph" w:customStyle="1" w:styleId="TableandFigurecaptionBody">
    <w:name w:val="Table and Figure caption (Body)"/>
    <w:basedOn w:val="BodyCopyBody"/>
    <w:uiPriority w:val="99"/>
    <w:rsid w:val="00C23573"/>
    <w:pPr>
      <w:spacing w:line="260" w:lineRule="atLeast"/>
    </w:pPr>
    <w:rPr>
      <w:rFonts w:ascii="VIC SemiBold" w:hAnsi="VIC SemiBold" w:cs="VIC SemiBold"/>
      <w:b/>
      <w:bCs/>
      <w:color w:val="04003F"/>
      <w:sz w:val="20"/>
      <w:szCs w:val="20"/>
      <w14:ligatures w14:val="standardContextual"/>
    </w:rPr>
  </w:style>
  <w:style w:type="paragraph" w:customStyle="1" w:styleId="IntroparaspncolsBody">
    <w:name w:val="Intro para spn cols (Body)"/>
    <w:basedOn w:val="BodyCopyBody"/>
    <w:uiPriority w:val="99"/>
    <w:rsid w:val="00C23573"/>
    <w:pPr>
      <w:spacing w:after="340" w:line="340" w:lineRule="atLeast"/>
    </w:pPr>
    <w:rPr>
      <w:color w:val="00828C"/>
      <w:sz w:val="24"/>
      <w:szCs w:val="24"/>
      <w14:ligatures w14:val="standardContextual"/>
    </w:rPr>
  </w:style>
  <w:style w:type="paragraph" w:customStyle="1" w:styleId="H4CoursesHeadings">
    <w:name w:val="H4 Courses (Headings)"/>
    <w:basedOn w:val="Normal"/>
    <w:uiPriority w:val="99"/>
    <w:rsid w:val="00C23573"/>
    <w:pPr>
      <w:keepLines/>
      <w:widowControl w:val="0"/>
      <w:pBdr>
        <w:top w:val="single" w:sz="8" w:space="19" w:color="46C1BE"/>
      </w:pBd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283" w:after="57" w:line="260" w:lineRule="atLeast"/>
      <w:textAlignment w:val="center"/>
    </w:pPr>
    <w:rPr>
      <w:rFonts w:ascii="VIC SemiBold" w:eastAsiaTheme="minorEastAsia" w:hAnsi="VIC SemiBold" w:cs="VIC SemiBold"/>
      <w:b/>
      <w:bCs/>
      <w:color w:val="04003F"/>
      <w:sz w:val="22"/>
      <w:szCs w:val="22"/>
      <w:lang w:val="en-GB" w:eastAsia="en-GB"/>
      <w14:ligatures w14:val="standardContextual"/>
    </w:rPr>
  </w:style>
  <w:style w:type="paragraph" w:customStyle="1" w:styleId="TableHeading1Tables">
    <w:name w:val="Table Heading 1 (Tables)"/>
    <w:basedOn w:val="TableBodyTables"/>
    <w:uiPriority w:val="99"/>
    <w:rsid w:val="00C23573"/>
    <w:rPr>
      <w:rFonts w:ascii="VIC SemiBold" w:hAnsi="VIC SemiBold" w:cs="VIC SemiBold"/>
      <w:b/>
      <w:bCs/>
      <w:color w:val="03003F"/>
      <w:sz w:val="20"/>
      <w:szCs w:val="20"/>
    </w:rPr>
  </w:style>
  <w:style w:type="paragraph" w:customStyle="1" w:styleId="TableBulletTables1">
    <w:name w:val="Table Bullet (Tables)"/>
    <w:basedOn w:val="TableBodyTables"/>
    <w:uiPriority w:val="99"/>
    <w:rsid w:val="00C23573"/>
    <w:pPr>
      <w:ind w:left="170" w:hanging="170"/>
    </w:pPr>
    <w:rPr>
      <w:color w:val="04003F"/>
    </w:rPr>
  </w:style>
  <w:style w:type="paragraph" w:customStyle="1" w:styleId="TableheadingreversedboldTables">
    <w:name w:val="Table heading reversed bold (Tables)"/>
    <w:basedOn w:val="TableHeading1Tables"/>
    <w:uiPriority w:val="99"/>
    <w:rsid w:val="00C23573"/>
    <w:rPr>
      <w:rFonts w:ascii="VIC" w:hAnsi="VIC" w:cs="VIC"/>
      <w:color w:val="FFFFFF"/>
      <w:sz w:val="22"/>
      <w:szCs w:val="22"/>
    </w:rPr>
  </w:style>
  <w:style w:type="paragraph" w:styleId="ListParagraph">
    <w:name w:val="List Paragraph"/>
    <w:basedOn w:val="Normal"/>
    <w:uiPriority w:val="34"/>
    <w:semiHidden/>
    <w:qFormat/>
    <w:rsid w:val="001047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576476">
      <w:bodyDiv w:val="1"/>
      <w:marLeft w:val="0"/>
      <w:marRight w:val="0"/>
      <w:marTop w:val="0"/>
      <w:marBottom w:val="0"/>
      <w:divBdr>
        <w:top w:val="none" w:sz="0" w:space="0" w:color="auto"/>
        <w:left w:val="none" w:sz="0" w:space="0" w:color="auto"/>
        <w:bottom w:val="none" w:sz="0" w:space="0" w:color="auto"/>
        <w:right w:val="none" w:sz="0" w:space="0" w:color="auto"/>
      </w:divBdr>
    </w:div>
    <w:div w:id="235282649">
      <w:bodyDiv w:val="1"/>
      <w:marLeft w:val="0"/>
      <w:marRight w:val="0"/>
      <w:marTop w:val="0"/>
      <w:marBottom w:val="0"/>
      <w:divBdr>
        <w:top w:val="none" w:sz="0" w:space="0" w:color="auto"/>
        <w:left w:val="none" w:sz="0" w:space="0" w:color="auto"/>
        <w:bottom w:val="none" w:sz="0" w:space="0" w:color="auto"/>
        <w:right w:val="none" w:sz="0" w:space="0" w:color="auto"/>
      </w:divBdr>
    </w:div>
    <w:div w:id="311981542">
      <w:bodyDiv w:val="1"/>
      <w:marLeft w:val="0"/>
      <w:marRight w:val="0"/>
      <w:marTop w:val="0"/>
      <w:marBottom w:val="0"/>
      <w:divBdr>
        <w:top w:val="none" w:sz="0" w:space="0" w:color="auto"/>
        <w:left w:val="none" w:sz="0" w:space="0" w:color="auto"/>
        <w:bottom w:val="none" w:sz="0" w:space="0" w:color="auto"/>
        <w:right w:val="none" w:sz="0" w:space="0" w:color="auto"/>
      </w:divBdr>
    </w:div>
    <w:div w:id="317731599">
      <w:bodyDiv w:val="1"/>
      <w:marLeft w:val="0"/>
      <w:marRight w:val="0"/>
      <w:marTop w:val="0"/>
      <w:marBottom w:val="0"/>
      <w:divBdr>
        <w:top w:val="none" w:sz="0" w:space="0" w:color="auto"/>
        <w:left w:val="none" w:sz="0" w:space="0" w:color="auto"/>
        <w:bottom w:val="none" w:sz="0" w:space="0" w:color="auto"/>
        <w:right w:val="none" w:sz="0" w:space="0" w:color="auto"/>
      </w:divBdr>
    </w:div>
    <w:div w:id="330566108">
      <w:bodyDiv w:val="1"/>
      <w:marLeft w:val="0"/>
      <w:marRight w:val="0"/>
      <w:marTop w:val="0"/>
      <w:marBottom w:val="0"/>
      <w:divBdr>
        <w:top w:val="none" w:sz="0" w:space="0" w:color="auto"/>
        <w:left w:val="none" w:sz="0" w:space="0" w:color="auto"/>
        <w:bottom w:val="none" w:sz="0" w:space="0" w:color="auto"/>
        <w:right w:val="none" w:sz="0" w:space="0" w:color="auto"/>
      </w:divBdr>
    </w:div>
    <w:div w:id="510148869">
      <w:bodyDiv w:val="1"/>
      <w:marLeft w:val="0"/>
      <w:marRight w:val="0"/>
      <w:marTop w:val="0"/>
      <w:marBottom w:val="0"/>
      <w:divBdr>
        <w:top w:val="none" w:sz="0" w:space="0" w:color="auto"/>
        <w:left w:val="none" w:sz="0" w:space="0" w:color="auto"/>
        <w:bottom w:val="none" w:sz="0" w:space="0" w:color="auto"/>
        <w:right w:val="none" w:sz="0" w:space="0" w:color="auto"/>
      </w:divBdr>
      <w:divsChild>
        <w:div w:id="46225475">
          <w:marLeft w:val="0"/>
          <w:marRight w:val="0"/>
          <w:marTop w:val="0"/>
          <w:marBottom w:val="0"/>
          <w:divBdr>
            <w:top w:val="none" w:sz="0" w:space="0" w:color="auto"/>
            <w:left w:val="none" w:sz="0" w:space="0" w:color="auto"/>
            <w:bottom w:val="none" w:sz="0" w:space="0" w:color="auto"/>
            <w:right w:val="none" w:sz="0" w:space="0" w:color="auto"/>
          </w:divBdr>
          <w:divsChild>
            <w:div w:id="510798474">
              <w:marLeft w:val="0"/>
              <w:marRight w:val="0"/>
              <w:marTop w:val="0"/>
              <w:marBottom w:val="0"/>
              <w:divBdr>
                <w:top w:val="none" w:sz="0" w:space="0" w:color="auto"/>
                <w:left w:val="none" w:sz="0" w:space="0" w:color="auto"/>
                <w:bottom w:val="none" w:sz="0" w:space="0" w:color="auto"/>
                <w:right w:val="none" w:sz="0" w:space="0" w:color="auto"/>
              </w:divBdr>
            </w:div>
            <w:div w:id="1260722296">
              <w:marLeft w:val="0"/>
              <w:marRight w:val="0"/>
              <w:marTop w:val="0"/>
              <w:marBottom w:val="0"/>
              <w:divBdr>
                <w:top w:val="none" w:sz="0" w:space="0" w:color="auto"/>
                <w:left w:val="none" w:sz="0" w:space="0" w:color="auto"/>
                <w:bottom w:val="none" w:sz="0" w:space="0" w:color="auto"/>
                <w:right w:val="none" w:sz="0" w:space="0" w:color="auto"/>
              </w:divBdr>
            </w:div>
            <w:div w:id="1768382609">
              <w:marLeft w:val="0"/>
              <w:marRight w:val="0"/>
              <w:marTop w:val="0"/>
              <w:marBottom w:val="0"/>
              <w:divBdr>
                <w:top w:val="none" w:sz="0" w:space="0" w:color="auto"/>
                <w:left w:val="none" w:sz="0" w:space="0" w:color="auto"/>
                <w:bottom w:val="none" w:sz="0" w:space="0" w:color="auto"/>
                <w:right w:val="none" w:sz="0" w:space="0" w:color="auto"/>
              </w:divBdr>
            </w:div>
          </w:divsChild>
        </w:div>
        <w:div w:id="675496383">
          <w:marLeft w:val="0"/>
          <w:marRight w:val="0"/>
          <w:marTop w:val="0"/>
          <w:marBottom w:val="0"/>
          <w:divBdr>
            <w:top w:val="none" w:sz="0" w:space="0" w:color="auto"/>
            <w:left w:val="none" w:sz="0" w:space="0" w:color="auto"/>
            <w:bottom w:val="none" w:sz="0" w:space="0" w:color="auto"/>
            <w:right w:val="none" w:sz="0" w:space="0" w:color="auto"/>
          </w:divBdr>
          <w:divsChild>
            <w:div w:id="1152479337">
              <w:marLeft w:val="0"/>
              <w:marRight w:val="0"/>
              <w:marTop w:val="0"/>
              <w:marBottom w:val="0"/>
              <w:divBdr>
                <w:top w:val="none" w:sz="0" w:space="0" w:color="auto"/>
                <w:left w:val="none" w:sz="0" w:space="0" w:color="auto"/>
                <w:bottom w:val="none" w:sz="0" w:space="0" w:color="auto"/>
                <w:right w:val="none" w:sz="0" w:space="0" w:color="auto"/>
              </w:divBdr>
            </w:div>
          </w:divsChild>
        </w:div>
        <w:div w:id="1827239292">
          <w:marLeft w:val="0"/>
          <w:marRight w:val="0"/>
          <w:marTop w:val="0"/>
          <w:marBottom w:val="0"/>
          <w:divBdr>
            <w:top w:val="none" w:sz="0" w:space="0" w:color="auto"/>
            <w:left w:val="none" w:sz="0" w:space="0" w:color="auto"/>
            <w:bottom w:val="none" w:sz="0" w:space="0" w:color="auto"/>
            <w:right w:val="none" w:sz="0" w:space="0" w:color="auto"/>
          </w:divBdr>
          <w:divsChild>
            <w:div w:id="329842919">
              <w:marLeft w:val="0"/>
              <w:marRight w:val="0"/>
              <w:marTop w:val="0"/>
              <w:marBottom w:val="0"/>
              <w:divBdr>
                <w:top w:val="none" w:sz="0" w:space="0" w:color="auto"/>
                <w:left w:val="none" w:sz="0" w:space="0" w:color="auto"/>
                <w:bottom w:val="none" w:sz="0" w:space="0" w:color="auto"/>
                <w:right w:val="none" w:sz="0" w:space="0" w:color="auto"/>
              </w:divBdr>
            </w:div>
            <w:div w:id="567809631">
              <w:marLeft w:val="0"/>
              <w:marRight w:val="0"/>
              <w:marTop w:val="0"/>
              <w:marBottom w:val="0"/>
              <w:divBdr>
                <w:top w:val="none" w:sz="0" w:space="0" w:color="auto"/>
                <w:left w:val="none" w:sz="0" w:space="0" w:color="auto"/>
                <w:bottom w:val="none" w:sz="0" w:space="0" w:color="auto"/>
                <w:right w:val="none" w:sz="0" w:space="0" w:color="auto"/>
              </w:divBdr>
            </w:div>
            <w:div w:id="148184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2204">
      <w:bodyDiv w:val="1"/>
      <w:marLeft w:val="0"/>
      <w:marRight w:val="0"/>
      <w:marTop w:val="0"/>
      <w:marBottom w:val="0"/>
      <w:divBdr>
        <w:top w:val="none" w:sz="0" w:space="0" w:color="auto"/>
        <w:left w:val="none" w:sz="0" w:space="0" w:color="auto"/>
        <w:bottom w:val="none" w:sz="0" w:space="0" w:color="auto"/>
        <w:right w:val="none" w:sz="0" w:space="0" w:color="auto"/>
      </w:divBdr>
      <w:divsChild>
        <w:div w:id="1083449671">
          <w:marLeft w:val="0"/>
          <w:marRight w:val="0"/>
          <w:marTop w:val="0"/>
          <w:marBottom w:val="0"/>
          <w:divBdr>
            <w:top w:val="none" w:sz="0" w:space="0" w:color="auto"/>
            <w:left w:val="none" w:sz="0" w:space="0" w:color="auto"/>
            <w:bottom w:val="none" w:sz="0" w:space="0" w:color="auto"/>
            <w:right w:val="none" w:sz="0" w:space="0" w:color="auto"/>
          </w:divBdr>
        </w:div>
        <w:div w:id="1699041024">
          <w:marLeft w:val="0"/>
          <w:marRight w:val="0"/>
          <w:marTop w:val="0"/>
          <w:marBottom w:val="0"/>
          <w:divBdr>
            <w:top w:val="none" w:sz="0" w:space="0" w:color="auto"/>
            <w:left w:val="none" w:sz="0" w:space="0" w:color="auto"/>
            <w:bottom w:val="none" w:sz="0" w:space="0" w:color="auto"/>
            <w:right w:val="none" w:sz="0" w:space="0" w:color="auto"/>
          </w:divBdr>
        </w:div>
      </w:divsChild>
    </w:div>
    <w:div w:id="906964102">
      <w:bodyDiv w:val="1"/>
      <w:marLeft w:val="0"/>
      <w:marRight w:val="0"/>
      <w:marTop w:val="0"/>
      <w:marBottom w:val="0"/>
      <w:divBdr>
        <w:top w:val="none" w:sz="0" w:space="0" w:color="auto"/>
        <w:left w:val="none" w:sz="0" w:space="0" w:color="auto"/>
        <w:bottom w:val="none" w:sz="0" w:space="0" w:color="auto"/>
        <w:right w:val="none" w:sz="0" w:space="0" w:color="auto"/>
      </w:divBdr>
    </w:div>
    <w:div w:id="909997709">
      <w:bodyDiv w:val="1"/>
      <w:marLeft w:val="0"/>
      <w:marRight w:val="0"/>
      <w:marTop w:val="0"/>
      <w:marBottom w:val="0"/>
      <w:divBdr>
        <w:top w:val="none" w:sz="0" w:space="0" w:color="auto"/>
        <w:left w:val="none" w:sz="0" w:space="0" w:color="auto"/>
        <w:bottom w:val="none" w:sz="0" w:space="0" w:color="auto"/>
        <w:right w:val="none" w:sz="0" w:space="0" w:color="auto"/>
      </w:divBdr>
      <w:divsChild>
        <w:div w:id="974483859">
          <w:marLeft w:val="0"/>
          <w:marRight w:val="0"/>
          <w:marTop w:val="0"/>
          <w:marBottom w:val="0"/>
          <w:divBdr>
            <w:top w:val="none" w:sz="0" w:space="0" w:color="auto"/>
            <w:left w:val="none" w:sz="0" w:space="0" w:color="auto"/>
            <w:bottom w:val="none" w:sz="0" w:space="0" w:color="auto"/>
            <w:right w:val="none" w:sz="0" w:space="0" w:color="auto"/>
          </w:divBdr>
          <w:divsChild>
            <w:div w:id="292756016">
              <w:marLeft w:val="0"/>
              <w:marRight w:val="0"/>
              <w:marTop w:val="0"/>
              <w:marBottom w:val="0"/>
              <w:divBdr>
                <w:top w:val="none" w:sz="0" w:space="0" w:color="auto"/>
                <w:left w:val="none" w:sz="0" w:space="0" w:color="auto"/>
                <w:bottom w:val="none" w:sz="0" w:space="0" w:color="auto"/>
                <w:right w:val="none" w:sz="0" w:space="0" w:color="auto"/>
              </w:divBdr>
            </w:div>
            <w:div w:id="855339494">
              <w:marLeft w:val="0"/>
              <w:marRight w:val="0"/>
              <w:marTop w:val="0"/>
              <w:marBottom w:val="0"/>
              <w:divBdr>
                <w:top w:val="none" w:sz="0" w:space="0" w:color="auto"/>
                <w:left w:val="none" w:sz="0" w:space="0" w:color="auto"/>
                <w:bottom w:val="none" w:sz="0" w:space="0" w:color="auto"/>
                <w:right w:val="none" w:sz="0" w:space="0" w:color="auto"/>
              </w:divBdr>
            </w:div>
          </w:divsChild>
        </w:div>
        <w:div w:id="1665545948">
          <w:marLeft w:val="0"/>
          <w:marRight w:val="0"/>
          <w:marTop w:val="0"/>
          <w:marBottom w:val="0"/>
          <w:divBdr>
            <w:top w:val="none" w:sz="0" w:space="0" w:color="auto"/>
            <w:left w:val="none" w:sz="0" w:space="0" w:color="auto"/>
            <w:bottom w:val="none" w:sz="0" w:space="0" w:color="auto"/>
            <w:right w:val="none" w:sz="0" w:space="0" w:color="auto"/>
          </w:divBdr>
          <w:divsChild>
            <w:div w:id="915019330">
              <w:marLeft w:val="0"/>
              <w:marRight w:val="0"/>
              <w:marTop w:val="0"/>
              <w:marBottom w:val="0"/>
              <w:divBdr>
                <w:top w:val="none" w:sz="0" w:space="0" w:color="auto"/>
                <w:left w:val="none" w:sz="0" w:space="0" w:color="auto"/>
                <w:bottom w:val="none" w:sz="0" w:space="0" w:color="auto"/>
                <w:right w:val="none" w:sz="0" w:space="0" w:color="auto"/>
              </w:divBdr>
            </w:div>
            <w:div w:id="1146125937">
              <w:marLeft w:val="0"/>
              <w:marRight w:val="0"/>
              <w:marTop w:val="0"/>
              <w:marBottom w:val="0"/>
              <w:divBdr>
                <w:top w:val="none" w:sz="0" w:space="0" w:color="auto"/>
                <w:left w:val="none" w:sz="0" w:space="0" w:color="auto"/>
                <w:bottom w:val="none" w:sz="0" w:space="0" w:color="auto"/>
                <w:right w:val="none" w:sz="0" w:space="0" w:color="auto"/>
              </w:divBdr>
            </w:div>
            <w:div w:id="201460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957541">
      <w:bodyDiv w:val="1"/>
      <w:marLeft w:val="0"/>
      <w:marRight w:val="0"/>
      <w:marTop w:val="0"/>
      <w:marBottom w:val="0"/>
      <w:divBdr>
        <w:top w:val="none" w:sz="0" w:space="0" w:color="auto"/>
        <w:left w:val="none" w:sz="0" w:space="0" w:color="auto"/>
        <w:bottom w:val="none" w:sz="0" w:space="0" w:color="auto"/>
        <w:right w:val="none" w:sz="0" w:space="0" w:color="auto"/>
      </w:divBdr>
      <w:divsChild>
        <w:div w:id="110437191">
          <w:marLeft w:val="0"/>
          <w:marRight w:val="0"/>
          <w:marTop w:val="0"/>
          <w:marBottom w:val="0"/>
          <w:divBdr>
            <w:top w:val="none" w:sz="0" w:space="0" w:color="auto"/>
            <w:left w:val="none" w:sz="0" w:space="0" w:color="auto"/>
            <w:bottom w:val="none" w:sz="0" w:space="0" w:color="auto"/>
            <w:right w:val="none" w:sz="0" w:space="0" w:color="auto"/>
          </w:divBdr>
        </w:div>
        <w:div w:id="353116211">
          <w:marLeft w:val="0"/>
          <w:marRight w:val="0"/>
          <w:marTop w:val="0"/>
          <w:marBottom w:val="0"/>
          <w:divBdr>
            <w:top w:val="none" w:sz="0" w:space="0" w:color="auto"/>
            <w:left w:val="none" w:sz="0" w:space="0" w:color="auto"/>
            <w:bottom w:val="none" w:sz="0" w:space="0" w:color="auto"/>
            <w:right w:val="none" w:sz="0" w:space="0" w:color="auto"/>
          </w:divBdr>
        </w:div>
        <w:div w:id="728383510">
          <w:marLeft w:val="0"/>
          <w:marRight w:val="0"/>
          <w:marTop w:val="0"/>
          <w:marBottom w:val="0"/>
          <w:divBdr>
            <w:top w:val="none" w:sz="0" w:space="0" w:color="auto"/>
            <w:left w:val="none" w:sz="0" w:space="0" w:color="auto"/>
            <w:bottom w:val="none" w:sz="0" w:space="0" w:color="auto"/>
            <w:right w:val="none" w:sz="0" w:space="0" w:color="auto"/>
          </w:divBdr>
        </w:div>
        <w:div w:id="760638136">
          <w:marLeft w:val="0"/>
          <w:marRight w:val="0"/>
          <w:marTop w:val="0"/>
          <w:marBottom w:val="0"/>
          <w:divBdr>
            <w:top w:val="none" w:sz="0" w:space="0" w:color="auto"/>
            <w:left w:val="none" w:sz="0" w:space="0" w:color="auto"/>
            <w:bottom w:val="none" w:sz="0" w:space="0" w:color="auto"/>
            <w:right w:val="none" w:sz="0" w:space="0" w:color="auto"/>
          </w:divBdr>
        </w:div>
        <w:div w:id="1005089018">
          <w:marLeft w:val="0"/>
          <w:marRight w:val="0"/>
          <w:marTop w:val="0"/>
          <w:marBottom w:val="0"/>
          <w:divBdr>
            <w:top w:val="none" w:sz="0" w:space="0" w:color="auto"/>
            <w:left w:val="none" w:sz="0" w:space="0" w:color="auto"/>
            <w:bottom w:val="none" w:sz="0" w:space="0" w:color="auto"/>
            <w:right w:val="none" w:sz="0" w:space="0" w:color="auto"/>
          </w:divBdr>
        </w:div>
        <w:div w:id="1211188375">
          <w:marLeft w:val="0"/>
          <w:marRight w:val="0"/>
          <w:marTop w:val="0"/>
          <w:marBottom w:val="0"/>
          <w:divBdr>
            <w:top w:val="none" w:sz="0" w:space="0" w:color="auto"/>
            <w:left w:val="none" w:sz="0" w:space="0" w:color="auto"/>
            <w:bottom w:val="none" w:sz="0" w:space="0" w:color="auto"/>
            <w:right w:val="none" w:sz="0" w:space="0" w:color="auto"/>
          </w:divBdr>
        </w:div>
        <w:div w:id="1251503935">
          <w:marLeft w:val="0"/>
          <w:marRight w:val="0"/>
          <w:marTop w:val="0"/>
          <w:marBottom w:val="0"/>
          <w:divBdr>
            <w:top w:val="none" w:sz="0" w:space="0" w:color="auto"/>
            <w:left w:val="none" w:sz="0" w:space="0" w:color="auto"/>
            <w:bottom w:val="none" w:sz="0" w:space="0" w:color="auto"/>
            <w:right w:val="none" w:sz="0" w:space="0" w:color="auto"/>
          </w:divBdr>
        </w:div>
        <w:div w:id="1894350123">
          <w:marLeft w:val="0"/>
          <w:marRight w:val="0"/>
          <w:marTop w:val="0"/>
          <w:marBottom w:val="0"/>
          <w:divBdr>
            <w:top w:val="none" w:sz="0" w:space="0" w:color="auto"/>
            <w:left w:val="none" w:sz="0" w:space="0" w:color="auto"/>
            <w:bottom w:val="none" w:sz="0" w:space="0" w:color="auto"/>
            <w:right w:val="none" w:sz="0" w:space="0" w:color="auto"/>
          </w:divBdr>
        </w:div>
        <w:div w:id="1961956913">
          <w:marLeft w:val="0"/>
          <w:marRight w:val="0"/>
          <w:marTop w:val="0"/>
          <w:marBottom w:val="0"/>
          <w:divBdr>
            <w:top w:val="none" w:sz="0" w:space="0" w:color="auto"/>
            <w:left w:val="none" w:sz="0" w:space="0" w:color="auto"/>
            <w:bottom w:val="none" w:sz="0" w:space="0" w:color="auto"/>
            <w:right w:val="none" w:sz="0" w:space="0" w:color="auto"/>
          </w:divBdr>
        </w:div>
        <w:div w:id="2029523789">
          <w:marLeft w:val="0"/>
          <w:marRight w:val="0"/>
          <w:marTop w:val="0"/>
          <w:marBottom w:val="0"/>
          <w:divBdr>
            <w:top w:val="none" w:sz="0" w:space="0" w:color="auto"/>
            <w:left w:val="none" w:sz="0" w:space="0" w:color="auto"/>
            <w:bottom w:val="none" w:sz="0" w:space="0" w:color="auto"/>
            <w:right w:val="none" w:sz="0" w:space="0" w:color="auto"/>
          </w:divBdr>
        </w:div>
        <w:div w:id="2060011737">
          <w:marLeft w:val="0"/>
          <w:marRight w:val="0"/>
          <w:marTop w:val="0"/>
          <w:marBottom w:val="0"/>
          <w:divBdr>
            <w:top w:val="none" w:sz="0" w:space="0" w:color="auto"/>
            <w:left w:val="none" w:sz="0" w:space="0" w:color="auto"/>
            <w:bottom w:val="none" w:sz="0" w:space="0" w:color="auto"/>
            <w:right w:val="none" w:sz="0" w:space="0" w:color="auto"/>
          </w:divBdr>
        </w:div>
      </w:divsChild>
    </w:div>
    <w:div w:id="1002857175">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320962321">
      <w:bodyDiv w:val="1"/>
      <w:marLeft w:val="0"/>
      <w:marRight w:val="0"/>
      <w:marTop w:val="0"/>
      <w:marBottom w:val="0"/>
      <w:divBdr>
        <w:top w:val="none" w:sz="0" w:space="0" w:color="auto"/>
        <w:left w:val="none" w:sz="0" w:space="0" w:color="auto"/>
        <w:bottom w:val="none" w:sz="0" w:space="0" w:color="auto"/>
        <w:right w:val="none" w:sz="0" w:space="0" w:color="auto"/>
      </w:divBdr>
      <w:divsChild>
        <w:div w:id="930704763">
          <w:marLeft w:val="0"/>
          <w:marRight w:val="0"/>
          <w:marTop w:val="0"/>
          <w:marBottom w:val="0"/>
          <w:divBdr>
            <w:top w:val="none" w:sz="0" w:space="0" w:color="auto"/>
            <w:left w:val="none" w:sz="0" w:space="0" w:color="auto"/>
            <w:bottom w:val="none" w:sz="0" w:space="0" w:color="auto"/>
            <w:right w:val="none" w:sz="0" w:space="0" w:color="auto"/>
          </w:divBdr>
        </w:div>
        <w:div w:id="963345682">
          <w:marLeft w:val="0"/>
          <w:marRight w:val="0"/>
          <w:marTop w:val="0"/>
          <w:marBottom w:val="0"/>
          <w:divBdr>
            <w:top w:val="none" w:sz="0" w:space="0" w:color="auto"/>
            <w:left w:val="none" w:sz="0" w:space="0" w:color="auto"/>
            <w:bottom w:val="none" w:sz="0" w:space="0" w:color="auto"/>
            <w:right w:val="none" w:sz="0" w:space="0" w:color="auto"/>
          </w:divBdr>
        </w:div>
        <w:div w:id="2027100030">
          <w:marLeft w:val="0"/>
          <w:marRight w:val="0"/>
          <w:marTop w:val="0"/>
          <w:marBottom w:val="0"/>
          <w:divBdr>
            <w:top w:val="none" w:sz="0" w:space="0" w:color="auto"/>
            <w:left w:val="none" w:sz="0" w:space="0" w:color="auto"/>
            <w:bottom w:val="none" w:sz="0" w:space="0" w:color="auto"/>
            <w:right w:val="none" w:sz="0" w:space="0" w:color="auto"/>
          </w:divBdr>
        </w:div>
      </w:divsChild>
    </w:div>
    <w:div w:id="1554927276">
      <w:bodyDiv w:val="1"/>
      <w:marLeft w:val="0"/>
      <w:marRight w:val="0"/>
      <w:marTop w:val="0"/>
      <w:marBottom w:val="0"/>
      <w:divBdr>
        <w:top w:val="none" w:sz="0" w:space="0" w:color="auto"/>
        <w:left w:val="none" w:sz="0" w:space="0" w:color="auto"/>
        <w:bottom w:val="none" w:sz="0" w:space="0" w:color="auto"/>
        <w:right w:val="none" w:sz="0" w:space="0" w:color="auto"/>
      </w:divBdr>
      <w:divsChild>
        <w:div w:id="107284507">
          <w:marLeft w:val="0"/>
          <w:marRight w:val="0"/>
          <w:marTop w:val="0"/>
          <w:marBottom w:val="0"/>
          <w:divBdr>
            <w:top w:val="none" w:sz="0" w:space="0" w:color="auto"/>
            <w:left w:val="none" w:sz="0" w:space="0" w:color="auto"/>
            <w:bottom w:val="none" w:sz="0" w:space="0" w:color="auto"/>
            <w:right w:val="none" w:sz="0" w:space="0" w:color="auto"/>
          </w:divBdr>
        </w:div>
        <w:div w:id="914827456">
          <w:marLeft w:val="0"/>
          <w:marRight w:val="0"/>
          <w:marTop w:val="0"/>
          <w:marBottom w:val="0"/>
          <w:divBdr>
            <w:top w:val="none" w:sz="0" w:space="0" w:color="auto"/>
            <w:left w:val="none" w:sz="0" w:space="0" w:color="auto"/>
            <w:bottom w:val="none" w:sz="0" w:space="0" w:color="auto"/>
            <w:right w:val="none" w:sz="0" w:space="0" w:color="auto"/>
          </w:divBdr>
        </w:div>
      </w:divsChild>
    </w:div>
    <w:div w:id="1586767069">
      <w:bodyDiv w:val="1"/>
      <w:marLeft w:val="0"/>
      <w:marRight w:val="0"/>
      <w:marTop w:val="0"/>
      <w:marBottom w:val="0"/>
      <w:divBdr>
        <w:top w:val="none" w:sz="0" w:space="0" w:color="auto"/>
        <w:left w:val="none" w:sz="0" w:space="0" w:color="auto"/>
        <w:bottom w:val="none" w:sz="0" w:space="0" w:color="auto"/>
        <w:right w:val="none" w:sz="0" w:space="0" w:color="auto"/>
      </w:divBdr>
    </w:div>
    <w:div w:id="1589388343">
      <w:bodyDiv w:val="1"/>
      <w:marLeft w:val="0"/>
      <w:marRight w:val="0"/>
      <w:marTop w:val="0"/>
      <w:marBottom w:val="0"/>
      <w:divBdr>
        <w:top w:val="none" w:sz="0" w:space="0" w:color="auto"/>
        <w:left w:val="none" w:sz="0" w:space="0" w:color="auto"/>
        <w:bottom w:val="none" w:sz="0" w:space="0" w:color="auto"/>
        <w:right w:val="none" w:sz="0" w:space="0" w:color="auto"/>
      </w:divBdr>
      <w:divsChild>
        <w:div w:id="269359550">
          <w:marLeft w:val="0"/>
          <w:marRight w:val="0"/>
          <w:marTop w:val="0"/>
          <w:marBottom w:val="0"/>
          <w:divBdr>
            <w:top w:val="none" w:sz="0" w:space="0" w:color="auto"/>
            <w:left w:val="none" w:sz="0" w:space="0" w:color="auto"/>
            <w:bottom w:val="none" w:sz="0" w:space="0" w:color="auto"/>
            <w:right w:val="none" w:sz="0" w:space="0" w:color="auto"/>
          </w:divBdr>
        </w:div>
        <w:div w:id="820077427">
          <w:marLeft w:val="0"/>
          <w:marRight w:val="0"/>
          <w:marTop w:val="0"/>
          <w:marBottom w:val="0"/>
          <w:divBdr>
            <w:top w:val="none" w:sz="0" w:space="0" w:color="auto"/>
            <w:left w:val="none" w:sz="0" w:space="0" w:color="auto"/>
            <w:bottom w:val="none" w:sz="0" w:space="0" w:color="auto"/>
            <w:right w:val="none" w:sz="0" w:space="0" w:color="auto"/>
          </w:divBdr>
        </w:div>
      </w:divsChild>
    </w:div>
    <w:div w:id="1689989689">
      <w:bodyDiv w:val="1"/>
      <w:marLeft w:val="0"/>
      <w:marRight w:val="0"/>
      <w:marTop w:val="0"/>
      <w:marBottom w:val="0"/>
      <w:divBdr>
        <w:top w:val="none" w:sz="0" w:space="0" w:color="auto"/>
        <w:left w:val="none" w:sz="0" w:space="0" w:color="auto"/>
        <w:bottom w:val="none" w:sz="0" w:space="0" w:color="auto"/>
        <w:right w:val="none" w:sz="0" w:space="0" w:color="auto"/>
      </w:divBdr>
      <w:divsChild>
        <w:div w:id="1936479511">
          <w:marLeft w:val="0"/>
          <w:marRight w:val="0"/>
          <w:marTop w:val="0"/>
          <w:marBottom w:val="0"/>
          <w:divBdr>
            <w:top w:val="none" w:sz="0" w:space="0" w:color="auto"/>
            <w:left w:val="none" w:sz="0" w:space="0" w:color="auto"/>
            <w:bottom w:val="none" w:sz="0" w:space="0" w:color="auto"/>
            <w:right w:val="none" w:sz="0" w:space="0" w:color="auto"/>
          </w:divBdr>
        </w:div>
      </w:divsChild>
    </w:div>
    <w:div w:id="1704942403">
      <w:bodyDiv w:val="1"/>
      <w:marLeft w:val="0"/>
      <w:marRight w:val="0"/>
      <w:marTop w:val="0"/>
      <w:marBottom w:val="0"/>
      <w:divBdr>
        <w:top w:val="none" w:sz="0" w:space="0" w:color="auto"/>
        <w:left w:val="none" w:sz="0" w:space="0" w:color="auto"/>
        <w:bottom w:val="none" w:sz="0" w:space="0" w:color="auto"/>
        <w:right w:val="none" w:sz="0" w:space="0" w:color="auto"/>
      </w:divBdr>
    </w:div>
    <w:div w:id="1795250854">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63351670">
      <w:bodyDiv w:val="1"/>
      <w:marLeft w:val="0"/>
      <w:marRight w:val="0"/>
      <w:marTop w:val="0"/>
      <w:marBottom w:val="0"/>
      <w:divBdr>
        <w:top w:val="none" w:sz="0" w:space="0" w:color="auto"/>
        <w:left w:val="none" w:sz="0" w:space="0" w:color="auto"/>
        <w:bottom w:val="none" w:sz="0" w:space="0" w:color="auto"/>
        <w:right w:val="none" w:sz="0" w:space="0" w:color="auto"/>
      </w:divBdr>
      <w:divsChild>
        <w:div w:id="10184908">
          <w:marLeft w:val="0"/>
          <w:marRight w:val="0"/>
          <w:marTop w:val="0"/>
          <w:marBottom w:val="0"/>
          <w:divBdr>
            <w:top w:val="none" w:sz="0" w:space="0" w:color="auto"/>
            <w:left w:val="none" w:sz="0" w:space="0" w:color="auto"/>
            <w:bottom w:val="none" w:sz="0" w:space="0" w:color="auto"/>
            <w:right w:val="none" w:sz="0" w:space="0" w:color="auto"/>
          </w:divBdr>
        </w:div>
        <w:div w:id="10761681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fo@vdwc.vic.gov.au"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C7826ED091BCB4FB2BD524B1499DC6C" ma:contentTypeVersion="18" ma:contentTypeDescription="Create a new document." ma:contentTypeScope="" ma:versionID="4f3ef512eeaedb29dfa663713e6b4fd8">
  <xsd:schema xmlns:xsd="http://www.w3.org/2001/XMLSchema" xmlns:xs="http://www.w3.org/2001/XMLSchema" xmlns:p="http://schemas.microsoft.com/office/2006/metadata/properties" xmlns:ns2="479654b5-7a65-4b67-bd8e-1eaaf9e0526d" xmlns:ns3="001dfbb6-5e7c-4f8e-a98b-73e5dbf48b3a" xmlns:ns4="5ce0f2b5-5be5-4508-bce9-d7011ece0659" targetNamespace="http://schemas.microsoft.com/office/2006/metadata/properties" ma:root="true" ma:fieldsID="5f43b28076c52ff5ac81a2c506c20c8b" ns2:_="" ns3:_="" ns4:_="">
    <xsd:import namespace="479654b5-7a65-4b67-bd8e-1eaaf9e0526d"/>
    <xsd:import namespace="001dfbb6-5e7c-4f8e-a98b-73e5dbf48b3a"/>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Owner"/>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9654b5-7a65-4b67-bd8e-1eaaf9e052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Owner" ma:index="20"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1dfbb6-5e7c-4f8e-a98b-73e5dbf48b3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831a45f6-81bf-4e44-8ca7-72b01028a765}" ma:internalName="TaxCatchAll" ma:showField="CatchAllData" ma:web="001dfbb6-5e7c-4f8e-a98b-73e5dbf48b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79654b5-7a65-4b67-bd8e-1eaaf9e0526d">
      <Terms xmlns="http://schemas.microsoft.com/office/infopath/2007/PartnerControls"/>
    </lcf76f155ced4ddcb4097134ff3c332f>
    <TaxCatchAll xmlns="5ce0f2b5-5be5-4508-bce9-d7011ece0659" xsi:nil="true"/>
    <Owner xmlns="479654b5-7a65-4b67-bd8e-1eaaf9e0526d">
      <UserInfo>
        <DisplayName>Carlos Rodriguez (VDWC)</DisplayName>
        <AccountId>185</AccountId>
        <AccountType/>
      </UserInfo>
    </Owner>
  </documentManagement>
</p:properties>
</file>

<file path=customXml/itemProps1.xml><?xml version="1.0" encoding="utf-8"?>
<ds:datastoreItem xmlns:ds="http://schemas.openxmlformats.org/officeDocument/2006/customXml" ds:itemID="{1DD0B0F4-9A82-4309-972B-C45AEDF540E3}">
  <ds:schemaRefs>
    <ds:schemaRef ds:uri="http://schemas.openxmlformats.org/officeDocument/2006/bibliography"/>
  </ds:schemaRefs>
</ds:datastoreItem>
</file>

<file path=customXml/itemProps2.xml><?xml version="1.0" encoding="utf-8"?>
<ds:datastoreItem xmlns:ds="http://schemas.openxmlformats.org/officeDocument/2006/customXml" ds:itemID="{64C8E75D-901C-4938-858D-CAF26D0408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9654b5-7a65-4b67-bd8e-1eaaf9e0526d"/>
    <ds:schemaRef ds:uri="001dfbb6-5e7c-4f8e-a98b-73e5dbf48b3a"/>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6D771A-F256-443E-8C40-A6A0CA86E490}">
  <ds:schemaRefs>
    <ds:schemaRef ds:uri="http://schemas.microsoft.com/sharepoint/v3/contenttype/forms"/>
  </ds:schemaRefs>
</ds:datastoreItem>
</file>

<file path=customXml/itemProps4.xml><?xml version="1.0" encoding="utf-8"?>
<ds:datastoreItem xmlns:ds="http://schemas.openxmlformats.org/officeDocument/2006/customXml" ds:itemID="{6A14B4B0-F3B6-49CC-ACCA-2804B18A029F}">
  <ds:schemaRefs>
    <ds:schemaRef ds:uri="http://schemas.microsoft.com/office/2006/metadata/properties"/>
    <ds:schemaRef ds:uri="http://schemas.microsoft.com/office/infopath/2007/PartnerControls"/>
    <ds:schemaRef ds:uri="479654b5-7a65-4b67-bd8e-1eaaf9e0526d"/>
    <ds:schemaRef ds:uri="5ce0f2b5-5be5-4508-bce9-d7011ece0659"/>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17</Pages>
  <Words>3788</Words>
  <Characters>21592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Victorian Disability Worker Commission and Disability Worker Registration Board of Victoria Corporate plan 2022–24</vt:lpstr>
    </vt:vector>
  </TitlesOfParts>
  <Manager/>
  <Company>Victorian Disability Worker Commission</Company>
  <LinksUpToDate>false</LinksUpToDate>
  <CharactersWithSpaces>25330</CharactersWithSpaces>
  <SharedDoc>false</SharedDoc>
  <HyperlinkBase/>
  <HLinks>
    <vt:vector size="498" baseType="variant">
      <vt:variant>
        <vt:i4>7274530</vt:i4>
      </vt:variant>
      <vt:variant>
        <vt:i4>561</vt:i4>
      </vt:variant>
      <vt:variant>
        <vt:i4>0</vt:i4>
      </vt:variant>
      <vt:variant>
        <vt:i4>5</vt:i4>
      </vt:variant>
      <vt:variant>
        <vt:lpwstr>https://www.vdwc.vic.gov.au/sites/default/files/2022-06/SOE - DWRBV.pdf</vt:lpwstr>
      </vt:variant>
      <vt:variant>
        <vt:lpwstr/>
      </vt:variant>
      <vt:variant>
        <vt:i4>6684713</vt:i4>
      </vt:variant>
      <vt:variant>
        <vt:i4>558</vt:i4>
      </vt:variant>
      <vt:variant>
        <vt:i4>0</vt:i4>
      </vt:variant>
      <vt:variant>
        <vt:i4>5</vt:i4>
      </vt:variant>
      <vt:variant>
        <vt:lpwstr>https://www.vdwc.vic.gov.au/sites/default/files/2022-06/SOE - VDWC and Commissioner.pdf</vt:lpwstr>
      </vt:variant>
      <vt:variant>
        <vt:lpwstr/>
      </vt:variant>
      <vt:variant>
        <vt:i4>544997446</vt:i4>
      </vt:variant>
      <vt:variant>
        <vt:i4>489</vt:i4>
      </vt:variant>
      <vt:variant>
        <vt:i4>0</vt:i4>
      </vt:variant>
      <vt:variant>
        <vt:i4>5</vt:i4>
      </vt:variant>
      <vt:variant>
        <vt:lpwstr>mailto:email%20the%20Commission’s%20FOI%20Officer</vt:lpwstr>
      </vt:variant>
      <vt:variant>
        <vt:lpwstr/>
      </vt:variant>
      <vt:variant>
        <vt:i4>5775394</vt:i4>
      </vt:variant>
      <vt:variant>
        <vt:i4>486</vt:i4>
      </vt:variant>
      <vt:variant>
        <vt:i4>0</vt:i4>
      </vt:variant>
      <vt:variant>
        <vt:i4>5</vt:i4>
      </vt:variant>
      <vt:variant>
        <vt:lpwstr>IBAC website’s ‘Report corruption or misconduct’ page</vt:lpwstr>
      </vt:variant>
      <vt:variant>
        <vt:lpwstr/>
      </vt:variant>
      <vt:variant>
        <vt:i4>3604577</vt:i4>
      </vt:variant>
      <vt:variant>
        <vt:i4>483</vt:i4>
      </vt:variant>
      <vt:variant>
        <vt:i4>0</vt:i4>
      </vt:variant>
      <vt:variant>
        <vt:i4>5</vt:i4>
      </vt:variant>
      <vt:variant>
        <vt:lpwstr>our website</vt:lpwstr>
      </vt:variant>
      <vt:variant>
        <vt:lpwstr/>
      </vt:variant>
      <vt:variant>
        <vt:i4>6029340</vt:i4>
      </vt:variant>
      <vt:variant>
        <vt:i4>480</vt:i4>
      </vt:variant>
      <vt:variant>
        <vt:i4>0</vt:i4>
      </vt:variant>
      <vt:variant>
        <vt:i4>5</vt:i4>
      </vt:variant>
      <vt:variant>
        <vt:lpwstr>https://vdwc.vic.gov.au/</vt:lpwstr>
      </vt:variant>
      <vt:variant>
        <vt:lpwstr/>
      </vt:variant>
      <vt:variant>
        <vt:i4>6684708</vt:i4>
      </vt:variant>
      <vt:variant>
        <vt:i4>477</vt:i4>
      </vt:variant>
      <vt:variant>
        <vt:i4>0</vt:i4>
      </vt:variant>
      <vt:variant>
        <vt:i4>5</vt:i4>
      </vt:variant>
      <vt:variant>
        <vt:lpwstr>https://ovic.vic.gov.au/freedom-of-information</vt:lpwstr>
      </vt:variant>
      <vt:variant>
        <vt:lpwstr/>
      </vt:variant>
      <vt:variant>
        <vt:i4>544997446</vt:i4>
      </vt:variant>
      <vt:variant>
        <vt:i4>474</vt:i4>
      </vt:variant>
      <vt:variant>
        <vt:i4>0</vt:i4>
      </vt:variant>
      <vt:variant>
        <vt:i4>5</vt:i4>
      </vt:variant>
      <vt:variant>
        <vt:lpwstr>mailto:email%20the%20Commission’s%20FOI%20Officer</vt:lpwstr>
      </vt:variant>
      <vt:variant>
        <vt:lpwstr/>
      </vt:variant>
      <vt:variant>
        <vt:i4>4325442</vt:i4>
      </vt:variant>
      <vt:variant>
        <vt:i4>453</vt:i4>
      </vt:variant>
      <vt:variant>
        <vt:i4>0</vt:i4>
      </vt:variant>
      <vt:variant>
        <vt:i4>5</vt:i4>
      </vt:variant>
      <vt:variant>
        <vt:lpwstr>https://portal.vdwc.vic.gov.au/publicregister</vt:lpwstr>
      </vt:variant>
      <vt:variant>
        <vt:lpwstr/>
      </vt:variant>
      <vt:variant>
        <vt:i4>3604577</vt:i4>
      </vt:variant>
      <vt:variant>
        <vt:i4>438</vt:i4>
      </vt:variant>
      <vt:variant>
        <vt:i4>0</vt:i4>
      </vt:variant>
      <vt:variant>
        <vt:i4>5</vt:i4>
      </vt:variant>
      <vt:variant>
        <vt:lpwstr>our website</vt:lpwstr>
      </vt:variant>
      <vt:variant>
        <vt:lpwstr/>
      </vt:variant>
      <vt:variant>
        <vt:i4>1245234</vt:i4>
      </vt:variant>
      <vt:variant>
        <vt:i4>428</vt:i4>
      </vt:variant>
      <vt:variant>
        <vt:i4>0</vt:i4>
      </vt:variant>
      <vt:variant>
        <vt:i4>5</vt:i4>
      </vt:variant>
      <vt:variant>
        <vt:lpwstr/>
      </vt:variant>
      <vt:variant>
        <vt:lpwstr>_Toc145322411</vt:lpwstr>
      </vt:variant>
      <vt:variant>
        <vt:i4>1245234</vt:i4>
      </vt:variant>
      <vt:variant>
        <vt:i4>422</vt:i4>
      </vt:variant>
      <vt:variant>
        <vt:i4>0</vt:i4>
      </vt:variant>
      <vt:variant>
        <vt:i4>5</vt:i4>
      </vt:variant>
      <vt:variant>
        <vt:lpwstr/>
      </vt:variant>
      <vt:variant>
        <vt:lpwstr>_Toc145322410</vt:lpwstr>
      </vt:variant>
      <vt:variant>
        <vt:i4>1179698</vt:i4>
      </vt:variant>
      <vt:variant>
        <vt:i4>416</vt:i4>
      </vt:variant>
      <vt:variant>
        <vt:i4>0</vt:i4>
      </vt:variant>
      <vt:variant>
        <vt:i4>5</vt:i4>
      </vt:variant>
      <vt:variant>
        <vt:lpwstr/>
      </vt:variant>
      <vt:variant>
        <vt:lpwstr>_Toc145322409</vt:lpwstr>
      </vt:variant>
      <vt:variant>
        <vt:i4>1179698</vt:i4>
      </vt:variant>
      <vt:variant>
        <vt:i4>410</vt:i4>
      </vt:variant>
      <vt:variant>
        <vt:i4>0</vt:i4>
      </vt:variant>
      <vt:variant>
        <vt:i4>5</vt:i4>
      </vt:variant>
      <vt:variant>
        <vt:lpwstr/>
      </vt:variant>
      <vt:variant>
        <vt:lpwstr>_Toc145322408</vt:lpwstr>
      </vt:variant>
      <vt:variant>
        <vt:i4>1179698</vt:i4>
      </vt:variant>
      <vt:variant>
        <vt:i4>404</vt:i4>
      </vt:variant>
      <vt:variant>
        <vt:i4>0</vt:i4>
      </vt:variant>
      <vt:variant>
        <vt:i4>5</vt:i4>
      </vt:variant>
      <vt:variant>
        <vt:lpwstr/>
      </vt:variant>
      <vt:variant>
        <vt:lpwstr>_Toc145322407</vt:lpwstr>
      </vt:variant>
      <vt:variant>
        <vt:i4>1179698</vt:i4>
      </vt:variant>
      <vt:variant>
        <vt:i4>398</vt:i4>
      </vt:variant>
      <vt:variant>
        <vt:i4>0</vt:i4>
      </vt:variant>
      <vt:variant>
        <vt:i4>5</vt:i4>
      </vt:variant>
      <vt:variant>
        <vt:lpwstr/>
      </vt:variant>
      <vt:variant>
        <vt:lpwstr>_Toc145322406</vt:lpwstr>
      </vt:variant>
      <vt:variant>
        <vt:i4>1179698</vt:i4>
      </vt:variant>
      <vt:variant>
        <vt:i4>392</vt:i4>
      </vt:variant>
      <vt:variant>
        <vt:i4>0</vt:i4>
      </vt:variant>
      <vt:variant>
        <vt:i4>5</vt:i4>
      </vt:variant>
      <vt:variant>
        <vt:lpwstr/>
      </vt:variant>
      <vt:variant>
        <vt:lpwstr>_Toc145322405</vt:lpwstr>
      </vt:variant>
      <vt:variant>
        <vt:i4>1179698</vt:i4>
      </vt:variant>
      <vt:variant>
        <vt:i4>386</vt:i4>
      </vt:variant>
      <vt:variant>
        <vt:i4>0</vt:i4>
      </vt:variant>
      <vt:variant>
        <vt:i4>5</vt:i4>
      </vt:variant>
      <vt:variant>
        <vt:lpwstr/>
      </vt:variant>
      <vt:variant>
        <vt:lpwstr>_Toc145322404</vt:lpwstr>
      </vt:variant>
      <vt:variant>
        <vt:i4>1179698</vt:i4>
      </vt:variant>
      <vt:variant>
        <vt:i4>380</vt:i4>
      </vt:variant>
      <vt:variant>
        <vt:i4>0</vt:i4>
      </vt:variant>
      <vt:variant>
        <vt:i4>5</vt:i4>
      </vt:variant>
      <vt:variant>
        <vt:lpwstr/>
      </vt:variant>
      <vt:variant>
        <vt:lpwstr>_Toc145322403</vt:lpwstr>
      </vt:variant>
      <vt:variant>
        <vt:i4>1179698</vt:i4>
      </vt:variant>
      <vt:variant>
        <vt:i4>374</vt:i4>
      </vt:variant>
      <vt:variant>
        <vt:i4>0</vt:i4>
      </vt:variant>
      <vt:variant>
        <vt:i4>5</vt:i4>
      </vt:variant>
      <vt:variant>
        <vt:lpwstr/>
      </vt:variant>
      <vt:variant>
        <vt:lpwstr>_Toc145322402</vt:lpwstr>
      </vt:variant>
      <vt:variant>
        <vt:i4>1179698</vt:i4>
      </vt:variant>
      <vt:variant>
        <vt:i4>368</vt:i4>
      </vt:variant>
      <vt:variant>
        <vt:i4>0</vt:i4>
      </vt:variant>
      <vt:variant>
        <vt:i4>5</vt:i4>
      </vt:variant>
      <vt:variant>
        <vt:lpwstr/>
      </vt:variant>
      <vt:variant>
        <vt:lpwstr>_Toc145322401</vt:lpwstr>
      </vt:variant>
      <vt:variant>
        <vt:i4>1179698</vt:i4>
      </vt:variant>
      <vt:variant>
        <vt:i4>362</vt:i4>
      </vt:variant>
      <vt:variant>
        <vt:i4>0</vt:i4>
      </vt:variant>
      <vt:variant>
        <vt:i4>5</vt:i4>
      </vt:variant>
      <vt:variant>
        <vt:lpwstr/>
      </vt:variant>
      <vt:variant>
        <vt:lpwstr>_Toc145322400</vt:lpwstr>
      </vt:variant>
      <vt:variant>
        <vt:i4>1769525</vt:i4>
      </vt:variant>
      <vt:variant>
        <vt:i4>356</vt:i4>
      </vt:variant>
      <vt:variant>
        <vt:i4>0</vt:i4>
      </vt:variant>
      <vt:variant>
        <vt:i4>5</vt:i4>
      </vt:variant>
      <vt:variant>
        <vt:lpwstr/>
      </vt:variant>
      <vt:variant>
        <vt:lpwstr>_Toc145322399</vt:lpwstr>
      </vt:variant>
      <vt:variant>
        <vt:i4>1769525</vt:i4>
      </vt:variant>
      <vt:variant>
        <vt:i4>350</vt:i4>
      </vt:variant>
      <vt:variant>
        <vt:i4>0</vt:i4>
      </vt:variant>
      <vt:variant>
        <vt:i4>5</vt:i4>
      </vt:variant>
      <vt:variant>
        <vt:lpwstr/>
      </vt:variant>
      <vt:variant>
        <vt:lpwstr>_Toc145322398</vt:lpwstr>
      </vt:variant>
      <vt:variant>
        <vt:i4>1769525</vt:i4>
      </vt:variant>
      <vt:variant>
        <vt:i4>344</vt:i4>
      </vt:variant>
      <vt:variant>
        <vt:i4>0</vt:i4>
      </vt:variant>
      <vt:variant>
        <vt:i4>5</vt:i4>
      </vt:variant>
      <vt:variant>
        <vt:lpwstr/>
      </vt:variant>
      <vt:variant>
        <vt:lpwstr>_Toc145322397</vt:lpwstr>
      </vt:variant>
      <vt:variant>
        <vt:i4>1769525</vt:i4>
      </vt:variant>
      <vt:variant>
        <vt:i4>338</vt:i4>
      </vt:variant>
      <vt:variant>
        <vt:i4>0</vt:i4>
      </vt:variant>
      <vt:variant>
        <vt:i4>5</vt:i4>
      </vt:variant>
      <vt:variant>
        <vt:lpwstr/>
      </vt:variant>
      <vt:variant>
        <vt:lpwstr>_Toc145322396</vt:lpwstr>
      </vt:variant>
      <vt:variant>
        <vt:i4>1769525</vt:i4>
      </vt:variant>
      <vt:variant>
        <vt:i4>332</vt:i4>
      </vt:variant>
      <vt:variant>
        <vt:i4>0</vt:i4>
      </vt:variant>
      <vt:variant>
        <vt:i4>5</vt:i4>
      </vt:variant>
      <vt:variant>
        <vt:lpwstr/>
      </vt:variant>
      <vt:variant>
        <vt:lpwstr>_Toc145322395</vt:lpwstr>
      </vt:variant>
      <vt:variant>
        <vt:i4>1769525</vt:i4>
      </vt:variant>
      <vt:variant>
        <vt:i4>326</vt:i4>
      </vt:variant>
      <vt:variant>
        <vt:i4>0</vt:i4>
      </vt:variant>
      <vt:variant>
        <vt:i4>5</vt:i4>
      </vt:variant>
      <vt:variant>
        <vt:lpwstr/>
      </vt:variant>
      <vt:variant>
        <vt:lpwstr>_Toc145322394</vt:lpwstr>
      </vt:variant>
      <vt:variant>
        <vt:i4>1769525</vt:i4>
      </vt:variant>
      <vt:variant>
        <vt:i4>320</vt:i4>
      </vt:variant>
      <vt:variant>
        <vt:i4>0</vt:i4>
      </vt:variant>
      <vt:variant>
        <vt:i4>5</vt:i4>
      </vt:variant>
      <vt:variant>
        <vt:lpwstr/>
      </vt:variant>
      <vt:variant>
        <vt:lpwstr>_Toc145322393</vt:lpwstr>
      </vt:variant>
      <vt:variant>
        <vt:i4>1769525</vt:i4>
      </vt:variant>
      <vt:variant>
        <vt:i4>314</vt:i4>
      </vt:variant>
      <vt:variant>
        <vt:i4>0</vt:i4>
      </vt:variant>
      <vt:variant>
        <vt:i4>5</vt:i4>
      </vt:variant>
      <vt:variant>
        <vt:lpwstr/>
      </vt:variant>
      <vt:variant>
        <vt:lpwstr>_Toc145322392</vt:lpwstr>
      </vt:variant>
      <vt:variant>
        <vt:i4>1769525</vt:i4>
      </vt:variant>
      <vt:variant>
        <vt:i4>308</vt:i4>
      </vt:variant>
      <vt:variant>
        <vt:i4>0</vt:i4>
      </vt:variant>
      <vt:variant>
        <vt:i4>5</vt:i4>
      </vt:variant>
      <vt:variant>
        <vt:lpwstr/>
      </vt:variant>
      <vt:variant>
        <vt:lpwstr>_Toc145322391</vt:lpwstr>
      </vt:variant>
      <vt:variant>
        <vt:i4>1769525</vt:i4>
      </vt:variant>
      <vt:variant>
        <vt:i4>302</vt:i4>
      </vt:variant>
      <vt:variant>
        <vt:i4>0</vt:i4>
      </vt:variant>
      <vt:variant>
        <vt:i4>5</vt:i4>
      </vt:variant>
      <vt:variant>
        <vt:lpwstr/>
      </vt:variant>
      <vt:variant>
        <vt:lpwstr>_Toc145322390</vt:lpwstr>
      </vt:variant>
      <vt:variant>
        <vt:i4>1703989</vt:i4>
      </vt:variant>
      <vt:variant>
        <vt:i4>296</vt:i4>
      </vt:variant>
      <vt:variant>
        <vt:i4>0</vt:i4>
      </vt:variant>
      <vt:variant>
        <vt:i4>5</vt:i4>
      </vt:variant>
      <vt:variant>
        <vt:lpwstr/>
      </vt:variant>
      <vt:variant>
        <vt:lpwstr>_Toc145322389</vt:lpwstr>
      </vt:variant>
      <vt:variant>
        <vt:i4>1703989</vt:i4>
      </vt:variant>
      <vt:variant>
        <vt:i4>290</vt:i4>
      </vt:variant>
      <vt:variant>
        <vt:i4>0</vt:i4>
      </vt:variant>
      <vt:variant>
        <vt:i4>5</vt:i4>
      </vt:variant>
      <vt:variant>
        <vt:lpwstr/>
      </vt:variant>
      <vt:variant>
        <vt:lpwstr>_Toc145322388</vt:lpwstr>
      </vt:variant>
      <vt:variant>
        <vt:i4>1703989</vt:i4>
      </vt:variant>
      <vt:variant>
        <vt:i4>284</vt:i4>
      </vt:variant>
      <vt:variant>
        <vt:i4>0</vt:i4>
      </vt:variant>
      <vt:variant>
        <vt:i4>5</vt:i4>
      </vt:variant>
      <vt:variant>
        <vt:lpwstr/>
      </vt:variant>
      <vt:variant>
        <vt:lpwstr>_Toc145322387</vt:lpwstr>
      </vt:variant>
      <vt:variant>
        <vt:i4>1703989</vt:i4>
      </vt:variant>
      <vt:variant>
        <vt:i4>278</vt:i4>
      </vt:variant>
      <vt:variant>
        <vt:i4>0</vt:i4>
      </vt:variant>
      <vt:variant>
        <vt:i4>5</vt:i4>
      </vt:variant>
      <vt:variant>
        <vt:lpwstr/>
      </vt:variant>
      <vt:variant>
        <vt:lpwstr>_Toc145322386</vt:lpwstr>
      </vt:variant>
      <vt:variant>
        <vt:i4>1703989</vt:i4>
      </vt:variant>
      <vt:variant>
        <vt:i4>272</vt:i4>
      </vt:variant>
      <vt:variant>
        <vt:i4>0</vt:i4>
      </vt:variant>
      <vt:variant>
        <vt:i4>5</vt:i4>
      </vt:variant>
      <vt:variant>
        <vt:lpwstr/>
      </vt:variant>
      <vt:variant>
        <vt:lpwstr>_Toc145322385</vt:lpwstr>
      </vt:variant>
      <vt:variant>
        <vt:i4>1703989</vt:i4>
      </vt:variant>
      <vt:variant>
        <vt:i4>266</vt:i4>
      </vt:variant>
      <vt:variant>
        <vt:i4>0</vt:i4>
      </vt:variant>
      <vt:variant>
        <vt:i4>5</vt:i4>
      </vt:variant>
      <vt:variant>
        <vt:lpwstr/>
      </vt:variant>
      <vt:variant>
        <vt:lpwstr>_Toc145322384</vt:lpwstr>
      </vt:variant>
      <vt:variant>
        <vt:i4>1703989</vt:i4>
      </vt:variant>
      <vt:variant>
        <vt:i4>260</vt:i4>
      </vt:variant>
      <vt:variant>
        <vt:i4>0</vt:i4>
      </vt:variant>
      <vt:variant>
        <vt:i4>5</vt:i4>
      </vt:variant>
      <vt:variant>
        <vt:lpwstr/>
      </vt:variant>
      <vt:variant>
        <vt:lpwstr>_Toc145322383</vt:lpwstr>
      </vt:variant>
      <vt:variant>
        <vt:i4>1703989</vt:i4>
      </vt:variant>
      <vt:variant>
        <vt:i4>254</vt:i4>
      </vt:variant>
      <vt:variant>
        <vt:i4>0</vt:i4>
      </vt:variant>
      <vt:variant>
        <vt:i4>5</vt:i4>
      </vt:variant>
      <vt:variant>
        <vt:lpwstr/>
      </vt:variant>
      <vt:variant>
        <vt:lpwstr>_Toc145322382</vt:lpwstr>
      </vt:variant>
      <vt:variant>
        <vt:i4>1703989</vt:i4>
      </vt:variant>
      <vt:variant>
        <vt:i4>248</vt:i4>
      </vt:variant>
      <vt:variant>
        <vt:i4>0</vt:i4>
      </vt:variant>
      <vt:variant>
        <vt:i4>5</vt:i4>
      </vt:variant>
      <vt:variant>
        <vt:lpwstr/>
      </vt:variant>
      <vt:variant>
        <vt:lpwstr>_Toc145322381</vt:lpwstr>
      </vt:variant>
      <vt:variant>
        <vt:i4>1703989</vt:i4>
      </vt:variant>
      <vt:variant>
        <vt:i4>242</vt:i4>
      </vt:variant>
      <vt:variant>
        <vt:i4>0</vt:i4>
      </vt:variant>
      <vt:variant>
        <vt:i4>5</vt:i4>
      </vt:variant>
      <vt:variant>
        <vt:lpwstr/>
      </vt:variant>
      <vt:variant>
        <vt:lpwstr>_Toc145322380</vt:lpwstr>
      </vt:variant>
      <vt:variant>
        <vt:i4>1376309</vt:i4>
      </vt:variant>
      <vt:variant>
        <vt:i4>236</vt:i4>
      </vt:variant>
      <vt:variant>
        <vt:i4>0</vt:i4>
      </vt:variant>
      <vt:variant>
        <vt:i4>5</vt:i4>
      </vt:variant>
      <vt:variant>
        <vt:lpwstr/>
      </vt:variant>
      <vt:variant>
        <vt:lpwstr>_Toc145322379</vt:lpwstr>
      </vt:variant>
      <vt:variant>
        <vt:i4>1376309</vt:i4>
      </vt:variant>
      <vt:variant>
        <vt:i4>230</vt:i4>
      </vt:variant>
      <vt:variant>
        <vt:i4>0</vt:i4>
      </vt:variant>
      <vt:variant>
        <vt:i4>5</vt:i4>
      </vt:variant>
      <vt:variant>
        <vt:lpwstr/>
      </vt:variant>
      <vt:variant>
        <vt:lpwstr>_Toc145322378</vt:lpwstr>
      </vt:variant>
      <vt:variant>
        <vt:i4>1376309</vt:i4>
      </vt:variant>
      <vt:variant>
        <vt:i4>224</vt:i4>
      </vt:variant>
      <vt:variant>
        <vt:i4>0</vt:i4>
      </vt:variant>
      <vt:variant>
        <vt:i4>5</vt:i4>
      </vt:variant>
      <vt:variant>
        <vt:lpwstr/>
      </vt:variant>
      <vt:variant>
        <vt:lpwstr>_Toc145322377</vt:lpwstr>
      </vt:variant>
      <vt:variant>
        <vt:i4>1376309</vt:i4>
      </vt:variant>
      <vt:variant>
        <vt:i4>218</vt:i4>
      </vt:variant>
      <vt:variant>
        <vt:i4>0</vt:i4>
      </vt:variant>
      <vt:variant>
        <vt:i4>5</vt:i4>
      </vt:variant>
      <vt:variant>
        <vt:lpwstr/>
      </vt:variant>
      <vt:variant>
        <vt:lpwstr>_Toc145322376</vt:lpwstr>
      </vt:variant>
      <vt:variant>
        <vt:i4>1376309</vt:i4>
      </vt:variant>
      <vt:variant>
        <vt:i4>212</vt:i4>
      </vt:variant>
      <vt:variant>
        <vt:i4>0</vt:i4>
      </vt:variant>
      <vt:variant>
        <vt:i4>5</vt:i4>
      </vt:variant>
      <vt:variant>
        <vt:lpwstr/>
      </vt:variant>
      <vt:variant>
        <vt:lpwstr>_Toc145322375</vt:lpwstr>
      </vt:variant>
      <vt:variant>
        <vt:i4>1376309</vt:i4>
      </vt:variant>
      <vt:variant>
        <vt:i4>206</vt:i4>
      </vt:variant>
      <vt:variant>
        <vt:i4>0</vt:i4>
      </vt:variant>
      <vt:variant>
        <vt:i4>5</vt:i4>
      </vt:variant>
      <vt:variant>
        <vt:lpwstr/>
      </vt:variant>
      <vt:variant>
        <vt:lpwstr>_Toc145322374</vt:lpwstr>
      </vt:variant>
      <vt:variant>
        <vt:i4>1376309</vt:i4>
      </vt:variant>
      <vt:variant>
        <vt:i4>200</vt:i4>
      </vt:variant>
      <vt:variant>
        <vt:i4>0</vt:i4>
      </vt:variant>
      <vt:variant>
        <vt:i4>5</vt:i4>
      </vt:variant>
      <vt:variant>
        <vt:lpwstr/>
      </vt:variant>
      <vt:variant>
        <vt:lpwstr>_Toc145322373</vt:lpwstr>
      </vt:variant>
      <vt:variant>
        <vt:i4>1376309</vt:i4>
      </vt:variant>
      <vt:variant>
        <vt:i4>194</vt:i4>
      </vt:variant>
      <vt:variant>
        <vt:i4>0</vt:i4>
      </vt:variant>
      <vt:variant>
        <vt:i4>5</vt:i4>
      </vt:variant>
      <vt:variant>
        <vt:lpwstr/>
      </vt:variant>
      <vt:variant>
        <vt:lpwstr>_Toc145322372</vt:lpwstr>
      </vt:variant>
      <vt:variant>
        <vt:i4>1376309</vt:i4>
      </vt:variant>
      <vt:variant>
        <vt:i4>188</vt:i4>
      </vt:variant>
      <vt:variant>
        <vt:i4>0</vt:i4>
      </vt:variant>
      <vt:variant>
        <vt:i4>5</vt:i4>
      </vt:variant>
      <vt:variant>
        <vt:lpwstr/>
      </vt:variant>
      <vt:variant>
        <vt:lpwstr>_Toc145322371</vt:lpwstr>
      </vt:variant>
      <vt:variant>
        <vt:i4>1376309</vt:i4>
      </vt:variant>
      <vt:variant>
        <vt:i4>182</vt:i4>
      </vt:variant>
      <vt:variant>
        <vt:i4>0</vt:i4>
      </vt:variant>
      <vt:variant>
        <vt:i4>5</vt:i4>
      </vt:variant>
      <vt:variant>
        <vt:lpwstr/>
      </vt:variant>
      <vt:variant>
        <vt:lpwstr>_Toc145322370</vt:lpwstr>
      </vt:variant>
      <vt:variant>
        <vt:i4>1310773</vt:i4>
      </vt:variant>
      <vt:variant>
        <vt:i4>176</vt:i4>
      </vt:variant>
      <vt:variant>
        <vt:i4>0</vt:i4>
      </vt:variant>
      <vt:variant>
        <vt:i4>5</vt:i4>
      </vt:variant>
      <vt:variant>
        <vt:lpwstr/>
      </vt:variant>
      <vt:variant>
        <vt:lpwstr>_Toc145322369</vt:lpwstr>
      </vt:variant>
      <vt:variant>
        <vt:i4>1310773</vt:i4>
      </vt:variant>
      <vt:variant>
        <vt:i4>170</vt:i4>
      </vt:variant>
      <vt:variant>
        <vt:i4>0</vt:i4>
      </vt:variant>
      <vt:variant>
        <vt:i4>5</vt:i4>
      </vt:variant>
      <vt:variant>
        <vt:lpwstr/>
      </vt:variant>
      <vt:variant>
        <vt:lpwstr>_Toc145322368</vt:lpwstr>
      </vt:variant>
      <vt:variant>
        <vt:i4>1310773</vt:i4>
      </vt:variant>
      <vt:variant>
        <vt:i4>164</vt:i4>
      </vt:variant>
      <vt:variant>
        <vt:i4>0</vt:i4>
      </vt:variant>
      <vt:variant>
        <vt:i4>5</vt:i4>
      </vt:variant>
      <vt:variant>
        <vt:lpwstr/>
      </vt:variant>
      <vt:variant>
        <vt:lpwstr>_Toc145322367</vt:lpwstr>
      </vt:variant>
      <vt:variant>
        <vt:i4>1310773</vt:i4>
      </vt:variant>
      <vt:variant>
        <vt:i4>158</vt:i4>
      </vt:variant>
      <vt:variant>
        <vt:i4>0</vt:i4>
      </vt:variant>
      <vt:variant>
        <vt:i4>5</vt:i4>
      </vt:variant>
      <vt:variant>
        <vt:lpwstr/>
      </vt:variant>
      <vt:variant>
        <vt:lpwstr>_Toc145322366</vt:lpwstr>
      </vt:variant>
      <vt:variant>
        <vt:i4>1310773</vt:i4>
      </vt:variant>
      <vt:variant>
        <vt:i4>152</vt:i4>
      </vt:variant>
      <vt:variant>
        <vt:i4>0</vt:i4>
      </vt:variant>
      <vt:variant>
        <vt:i4>5</vt:i4>
      </vt:variant>
      <vt:variant>
        <vt:lpwstr/>
      </vt:variant>
      <vt:variant>
        <vt:lpwstr>_Toc145322365</vt:lpwstr>
      </vt:variant>
      <vt:variant>
        <vt:i4>1310773</vt:i4>
      </vt:variant>
      <vt:variant>
        <vt:i4>146</vt:i4>
      </vt:variant>
      <vt:variant>
        <vt:i4>0</vt:i4>
      </vt:variant>
      <vt:variant>
        <vt:i4>5</vt:i4>
      </vt:variant>
      <vt:variant>
        <vt:lpwstr/>
      </vt:variant>
      <vt:variant>
        <vt:lpwstr>_Toc145322364</vt:lpwstr>
      </vt:variant>
      <vt:variant>
        <vt:i4>1310773</vt:i4>
      </vt:variant>
      <vt:variant>
        <vt:i4>140</vt:i4>
      </vt:variant>
      <vt:variant>
        <vt:i4>0</vt:i4>
      </vt:variant>
      <vt:variant>
        <vt:i4>5</vt:i4>
      </vt:variant>
      <vt:variant>
        <vt:lpwstr/>
      </vt:variant>
      <vt:variant>
        <vt:lpwstr>_Toc145322363</vt:lpwstr>
      </vt:variant>
      <vt:variant>
        <vt:i4>1310773</vt:i4>
      </vt:variant>
      <vt:variant>
        <vt:i4>134</vt:i4>
      </vt:variant>
      <vt:variant>
        <vt:i4>0</vt:i4>
      </vt:variant>
      <vt:variant>
        <vt:i4>5</vt:i4>
      </vt:variant>
      <vt:variant>
        <vt:lpwstr/>
      </vt:variant>
      <vt:variant>
        <vt:lpwstr>_Toc145322362</vt:lpwstr>
      </vt:variant>
      <vt:variant>
        <vt:i4>1310773</vt:i4>
      </vt:variant>
      <vt:variant>
        <vt:i4>128</vt:i4>
      </vt:variant>
      <vt:variant>
        <vt:i4>0</vt:i4>
      </vt:variant>
      <vt:variant>
        <vt:i4>5</vt:i4>
      </vt:variant>
      <vt:variant>
        <vt:lpwstr/>
      </vt:variant>
      <vt:variant>
        <vt:lpwstr>_Toc145322361</vt:lpwstr>
      </vt:variant>
      <vt:variant>
        <vt:i4>1310773</vt:i4>
      </vt:variant>
      <vt:variant>
        <vt:i4>122</vt:i4>
      </vt:variant>
      <vt:variant>
        <vt:i4>0</vt:i4>
      </vt:variant>
      <vt:variant>
        <vt:i4>5</vt:i4>
      </vt:variant>
      <vt:variant>
        <vt:lpwstr/>
      </vt:variant>
      <vt:variant>
        <vt:lpwstr>_Toc145322360</vt:lpwstr>
      </vt:variant>
      <vt:variant>
        <vt:i4>1507381</vt:i4>
      </vt:variant>
      <vt:variant>
        <vt:i4>116</vt:i4>
      </vt:variant>
      <vt:variant>
        <vt:i4>0</vt:i4>
      </vt:variant>
      <vt:variant>
        <vt:i4>5</vt:i4>
      </vt:variant>
      <vt:variant>
        <vt:lpwstr/>
      </vt:variant>
      <vt:variant>
        <vt:lpwstr>_Toc145322359</vt:lpwstr>
      </vt:variant>
      <vt:variant>
        <vt:i4>1507381</vt:i4>
      </vt:variant>
      <vt:variant>
        <vt:i4>110</vt:i4>
      </vt:variant>
      <vt:variant>
        <vt:i4>0</vt:i4>
      </vt:variant>
      <vt:variant>
        <vt:i4>5</vt:i4>
      </vt:variant>
      <vt:variant>
        <vt:lpwstr/>
      </vt:variant>
      <vt:variant>
        <vt:lpwstr>_Toc145322358</vt:lpwstr>
      </vt:variant>
      <vt:variant>
        <vt:i4>1507381</vt:i4>
      </vt:variant>
      <vt:variant>
        <vt:i4>104</vt:i4>
      </vt:variant>
      <vt:variant>
        <vt:i4>0</vt:i4>
      </vt:variant>
      <vt:variant>
        <vt:i4>5</vt:i4>
      </vt:variant>
      <vt:variant>
        <vt:lpwstr/>
      </vt:variant>
      <vt:variant>
        <vt:lpwstr>_Toc145322357</vt:lpwstr>
      </vt:variant>
      <vt:variant>
        <vt:i4>1507381</vt:i4>
      </vt:variant>
      <vt:variant>
        <vt:i4>98</vt:i4>
      </vt:variant>
      <vt:variant>
        <vt:i4>0</vt:i4>
      </vt:variant>
      <vt:variant>
        <vt:i4>5</vt:i4>
      </vt:variant>
      <vt:variant>
        <vt:lpwstr/>
      </vt:variant>
      <vt:variant>
        <vt:lpwstr>_Toc145322356</vt:lpwstr>
      </vt:variant>
      <vt:variant>
        <vt:i4>1507381</vt:i4>
      </vt:variant>
      <vt:variant>
        <vt:i4>92</vt:i4>
      </vt:variant>
      <vt:variant>
        <vt:i4>0</vt:i4>
      </vt:variant>
      <vt:variant>
        <vt:i4>5</vt:i4>
      </vt:variant>
      <vt:variant>
        <vt:lpwstr/>
      </vt:variant>
      <vt:variant>
        <vt:lpwstr>_Toc145322355</vt:lpwstr>
      </vt:variant>
      <vt:variant>
        <vt:i4>1507381</vt:i4>
      </vt:variant>
      <vt:variant>
        <vt:i4>86</vt:i4>
      </vt:variant>
      <vt:variant>
        <vt:i4>0</vt:i4>
      </vt:variant>
      <vt:variant>
        <vt:i4>5</vt:i4>
      </vt:variant>
      <vt:variant>
        <vt:lpwstr/>
      </vt:variant>
      <vt:variant>
        <vt:lpwstr>_Toc145322354</vt:lpwstr>
      </vt:variant>
      <vt:variant>
        <vt:i4>1507381</vt:i4>
      </vt:variant>
      <vt:variant>
        <vt:i4>80</vt:i4>
      </vt:variant>
      <vt:variant>
        <vt:i4>0</vt:i4>
      </vt:variant>
      <vt:variant>
        <vt:i4>5</vt:i4>
      </vt:variant>
      <vt:variant>
        <vt:lpwstr/>
      </vt:variant>
      <vt:variant>
        <vt:lpwstr>_Toc145322353</vt:lpwstr>
      </vt:variant>
      <vt:variant>
        <vt:i4>1507381</vt:i4>
      </vt:variant>
      <vt:variant>
        <vt:i4>74</vt:i4>
      </vt:variant>
      <vt:variant>
        <vt:i4>0</vt:i4>
      </vt:variant>
      <vt:variant>
        <vt:i4>5</vt:i4>
      </vt:variant>
      <vt:variant>
        <vt:lpwstr/>
      </vt:variant>
      <vt:variant>
        <vt:lpwstr>_Toc145322352</vt:lpwstr>
      </vt:variant>
      <vt:variant>
        <vt:i4>1507381</vt:i4>
      </vt:variant>
      <vt:variant>
        <vt:i4>68</vt:i4>
      </vt:variant>
      <vt:variant>
        <vt:i4>0</vt:i4>
      </vt:variant>
      <vt:variant>
        <vt:i4>5</vt:i4>
      </vt:variant>
      <vt:variant>
        <vt:lpwstr/>
      </vt:variant>
      <vt:variant>
        <vt:lpwstr>_Toc145322351</vt:lpwstr>
      </vt:variant>
      <vt:variant>
        <vt:i4>1507381</vt:i4>
      </vt:variant>
      <vt:variant>
        <vt:i4>62</vt:i4>
      </vt:variant>
      <vt:variant>
        <vt:i4>0</vt:i4>
      </vt:variant>
      <vt:variant>
        <vt:i4>5</vt:i4>
      </vt:variant>
      <vt:variant>
        <vt:lpwstr/>
      </vt:variant>
      <vt:variant>
        <vt:lpwstr>_Toc145322350</vt:lpwstr>
      </vt:variant>
      <vt:variant>
        <vt:i4>1441845</vt:i4>
      </vt:variant>
      <vt:variant>
        <vt:i4>56</vt:i4>
      </vt:variant>
      <vt:variant>
        <vt:i4>0</vt:i4>
      </vt:variant>
      <vt:variant>
        <vt:i4>5</vt:i4>
      </vt:variant>
      <vt:variant>
        <vt:lpwstr/>
      </vt:variant>
      <vt:variant>
        <vt:lpwstr>_Toc145322349</vt:lpwstr>
      </vt:variant>
      <vt:variant>
        <vt:i4>1441845</vt:i4>
      </vt:variant>
      <vt:variant>
        <vt:i4>50</vt:i4>
      </vt:variant>
      <vt:variant>
        <vt:i4>0</vt:i4>
      </vt:variant>
      <vt:variant>
        <vt:i4>5</vt:i4>
      </vt:variant>
      <vt:variant>
        <vt:lpwstr/>
      </vt:variant>
      <vt:variant>
        <vt:lpwstr>_Toc145322348</vt:lpwstr>
      </vt:variant>
      <vt:variant>
        <vt:i4>1441845</vt:i4>
      </vt:variant>
      <vt:variant>
        <vt:i4>44</vt:i4>
      </vt:variant>
      <vt:variant>
        <vt:i4>0</vt:i4>
      </vt:variant>
      <vt:variant>
        <vt:i4>5</vt:i4>
      </vt:variant>
      <vt:variant>
        <vt:lpwstr/>
      </vt:variant>
      <vt:variant>
        <vt:lpwstr>_Toc145322347</vt:lpwstr>
      </vt:variant>
      <vt:variant>
        <vt:i4>1441845</vt:i4>
      </vt:variant>
      <vt:variant>
        <vt:i4>38</vt:i4>
      </vt:variant>
      <vt:variant>
        <vt:i4>0</vt:i4>
      </vt:variant>
      <vt:variant>
        <vt:i4>5</vt:i4>
      </vt:variant>
      <vt:variant>
        <vt:lpwstr/>
      </vt:variant>
      <vt:variant>
        <vt:lpwstr>_Toc145322346</vt:lpwstr>
      </vt:variant>
      <vt:variant>
        <vt:i4>1441845</vt:i4>
      </vt:variant>
      <vt:variant>
        <vt:i4>32</vt:i4>
      </vt:variant>
      <vt:variant>
        <vt:i4>0</vt:i4>
      </vt:variant>
      <vt:variant>
        <vt:i4>5</vt:i4>
      </vt:variant>
      <vt:variant>
        <vt:lpwstr/>
      </vt:variant>
      <vt:variant>
        <vt:lpwstr>_Toc145322345</vt:lpwstr>
      </vt:variant>
      <vt:variant>
        <vt:i4>1441845</vt:i4>
      </vt:variant>
      <vt:variant>
        <vt:i4>26</vt:i4>
      </vt:variant>
      <vt:variant>
        <vt:i4>0</vt:i4>
      </vt:variant>
      <vt:variant>
        <vt:i4>5</vt:i4>
      </vt:variant>
      <vt:variant>
        <vt:lpwstr/>
      </vt:variant>
      <vt:variant>
        <vt:lpwstr>_Toc145322344</vt:lpwstr>
      </vt:variant>
      <vt:variant>
        <vt:i4>1441845</vt:i4>
      </vt:variant>
      <vt:variant>
        <vt:i4>20</vt:i4>
      </vt:variant>
      <vt:variant>
        <vt:i4>0</vt:i4>
      </vt:variant>
      <vt:variant>
        <vt:i4>5</vt:i4>
      </vt:variant>
      <vt:variant>
        <vt:lpwstr/>
      </vt:variant>
      <vt:variant>
        <vt:lpwstr>_Toc145322343</vt:lpwstr>
      </vt:variant>
      <vt:variant>
        <vt:i4>1441845</vt:i4>
      </vt:variant>
      <vt:variant>
        <vt:i4>14</vt:i4>
      </vt:variant>
      <vt:variant>
        <vt:i4>0</vt:i4>
      </vt:variant>
      <vt:variant>
        <vt:i4>5</vt:i4>
      </vt:variant>
      <vt:variant>
        <vt:lpwstr/>
      </vt:variant>
      <vt:variant>
        <vt:lpwstr>_Toc145322342</vt:lpwstr>
      </vt:variant>
      <vt:variant>
        <vt:i4>1441845</vt:i4>
      </vt:variant>
      <vt:variant>
        <vt:i4>8</vt:i4>
      </vt:variant>
      <vt:variant>
        <vt:i4>0</vt:i4>
      </vt:variant>
      <vt:variant>
        <vt:i4>5</vt:i4>
      </vt:variant>
      <vt:variant>
        <vt:lpwstr/>
      </vt:variant>
      <vt:variant>
        <vt:lpwstr>_Toc145322341</vt:lpwstr>
      </vt:variant>
      <vt:variant>
        <vt:i4>5177442</vt:i4>
      </vt:variant>
      <vt:variant>
        <vt:i4>3</vt:i4>
      </vt:variant>
      <vt:variant>
        <vt:i4>0</vt:i4>
      </vt:variant>
      <vt:variant>
        <vt:i4>5</vt:i4>
      </vt:variant>
      <vt:variant>
        <vt:lpwstr>mailto:info@vdwc.vic.gov.au</vt:lpwstr>
      </vt:variant>
      <vt:variant>
        <vt:lpwstr/>
      </vt:variant>
      <vt:variant>
        <vt:i4>5177442</vt:i4>
      </vt:variant>
      <vt:variant>
        <vt:i4>0</vt:i4>
      </vt:variant>
      <vt:variant>
        <vt:i4>0</vt:i4>
      </vt:variant>
      <vt:variant>
        <vt:i4>5</vt:i4>
      </vt:variant>
      <vt:variant>
        <vt:lpwstr>mailto:info@vdwc.vic.gov.au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Disability Worker Commission and Disability Worker Registration Board of Victoria Corporate plan 2022–24</dc:title>
  <dc:subject>Corporate plan 2022-24</dc:subject>
  <dc:creator>Victorian Disability Worker Commission</dc:creator>
  <cp:keywords>Corporate plan; Victorian Disability Worker Commission; Disability Worker Registration Board of Victoria; Finance; Governance; Compliance; Workforce</cp:keywords>
  <dc:description/>
  <cp:lastModifiedBy>Kate Vandestadt</cp:lastModifiedBy>
  <cp:revision>62</cp:revision>
  <cp:lastPrinted>2023-07-28T10:36:00Z</cp:lastPrinted>
  <dcterms:created xsi:type="dcterms:W3CDTF">2023-10-05T22:57:00Z</dcterms:created>
  <dcterms:modified xsi:type="dcterms:W3CDTF">2024-05-01T03:58:00Z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0x010100CC7826ED091BCB4FB2BD524B1499DC6C</vt:lpwstr>
  </property>
  <property fmtid="{D5CDD505-2E9C-101B-9397-08002B2CF9AE}" pid="4" name="MediaServiceImageTags">
    <vt:lpwstr/>
  </property>
  <property fmtid="{D5CDD505-2E9C-101B-9397-08002B2CF9AE}" pid="5" name="MSIP_Label_43e64453-338c-4f93-8a4d-0039a0a41f2a_Enabled">
    <vt:lpwstr>true</vt:lpwstr>
  </property>
  <property fmtid="{D5CDD505-2E9C-101B-9397-08002B2CF9AE}" pid="6" name="MSIP_Label_43e64453-338c-4f93-8a4d-0039a0a41f2a_SetDate">
    <vt:lpwstr>2023-09-08T02:33:39Z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090d587b-41af-4eb0-9bde-7725d445f40d</vt:lpwstr>
  </property>
  <property fmtid="{D5CDD505-2E9C-101B-9397-08002B2CF9AE}" pid="11" name="MSIP_Label_43e64453-338c-4f93-8a4d-0039a0a41f2a_ContentBits">
    <vt:lpwstr>2</vt:lpwstr>
  </property>
</Properties>
</file>